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兴安盟直属企业负责人</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履职待遇、业务支出管理办法</w:t>
      </w:r>
    </w:p>
    <w:p>
      <w:pPr>
        <w:jc w:val="center"/>
        <w:rPr>
          <w:rFonts w:hint="eastAsia" w:ascii="楷体" w:hAnsi="楷体" w:eastAsia="楷体" w:cs="楷体"/>
          <w:b/>
          <w:bCs/>
          <w:sz w:val="36"/>
          <w:szCs w:val="36"/>
          <w:lang w:val="en-US" w:eastAsia="zh-CN"/>
        </w:rPr>
      </w:pPr>
      <w:r>
        <w:rPr>
          <w:rFonts w:hint="eastAsia" w:ascii="楷体" w:hAnsi="楷体" w:eastAsia="楷体" w:cs="楷体"/>
          <w:b/>
          <w:bCs/>
          <w:sz w:val="36"/>
          <w:szCs w:val="36"/>
          <w:lang w:val="en-US" w:eastAsia="zh-CN"/>
        </w:rPr>
        <w:t>（征求意见稿）</w:t>
      </w:r>
    </w:p>
    <w:p>
      <w:pPr>
        <w:jc w:val="cente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（2024年3月修订）</w:t>
      </w:r>
    </w:p>
    <w:p>
      <w:pPr>
        <w:jc w:val="center"/>
        <w:rPr>
          <w:rFonts w:hint="eastAsia" w:ascii="楷体" w:hAnsi="楷体" w:eastAsia="楷体" w:cs="楷体"/>
          <w:b w:val="0"/>
          <w:bCs w:val="0"/>
          <w:sz w:val="28"/>
          <w:szCs w:val="28"/>
          <w:lang w:val="en-US" w:eastAsia="zh-CN"/>
        </w:rPr>
      </w:pPr>
    </w:p>
    <w:p>
      <w:pPr>
        <w:numPr>
          <w:ilvl w:val="0"/>
          <w:numId w:val="1"/>
        </w:numPr>
        <w:ind w:firstLine="3213" w:firstLineChars="1000"/>
        <w:rPr>
          <w:rFonts w:hint="eastAsia" w:ascii="黑体" w:hAnsi="黑体" w:eastAsia="黑体" w:cs="黑体"/>
          <w:b/>
          <w:bCs/>
          <w:sz w:val="32"/>
          <w:szCs w:val="32"/>
        </w:rPr>
      </w:pPr>
      <w:r>
        <w:rPr>
          <w:rFonts w:hint="eastAsia" w:ascii="黑体" w:hAnsi="黑体" w:eastAsia="黑体" w:cs="黑体"/>
          <w:b/>
          <w:bCs/>
          <w:sz w:val="32"/>
          <w:szCs w:val="32"/>
        </w:rPr>
        <w:t>总 则</w:t>
      </w:r>
    </w:p>
    <w:p>
      <w:p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第一条</w:t>
      </w:r>
      <w:r>
        <w:rPr>
          <w:rFonts w:hint="eastAsia" w:ascii="楷体" w:hAnsi="楷体" w:eastAsia="楷体" w:cs="楷体"/>
          <w:color w:val="auto"/>
          <w:sz w:val="32"/>
          <w:szCs w:val="32"/>
          <w:u w:val="none"/>
        </w:rPr>
        <w:t xml:space="preserve"> 为了合理确定并严格规范兴安盟直属企业负责人履职待遇、业务支出</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根据《内蒙古自治区党委办公厅、自治区人民政府办公厅印发&lt;自治区直属国有企业负责人履职待遇、业务支出管理办法&gt;的通知》(内党办发〔20</w:t>
      </w:r>
      <w:r>
        <w:rPr>
          <w:rFonts w:hint="eastAsia" w:ascii="楷体" w:hAnsi="楷体" w:eastAsia="楷体" w:cs="楷体"/>
          <w:color w:val="auto"/>
          <w:sz w:val="32"/>
          <w:szCs w:val="32"/>
          <w:u w:val="none"/>
          <w:lang w:val="en-US" w:eastAsia="zh-CN"/>
        </w:rPr>
        <w:t>23〕6</w:t>
      </w:r>
      <w:r>
        <w:rPr>
          <w:rFonts w:hint="eastAsia" w:ascii="楷体" w:hAnsi="楷体" w:eastAsia="楷体" w:cs="楷体"/>
          <w:color w:val="auto"/>
          <w:sz w:val="32"/>
          <w:szCs w:val="32"/>
          <w:u w:val="none"/>
        </w:rPr>
        <w:t xml:space="preserve"> 号)等相关规定，</w:t>
      </w:r>
      <w:r>
        <w:rPr>
          <w:rFonts w:hint="eastAsia" w:ascii="楷体" w:hAnsi="楷体" w:eastAsia="楷体" w:cs="楷体"/>
          <w:color w:val="auto"/>
          <w:sz w:val="32"/>
          <w:szCs w:val="32"/>
          <w:u w:val="none"/>
          <w:lang w:val="en-US" w:eastAsia="zh-CN"/>
        </w:rPr>
        <w:t>结合兴安盟实际，</w:t>
      </w:r>
      <w:r>
        <w:rPr>
          <w:rFonts w:hint="eastAsia" w:ascii="楷体" w:hAnsi="楷体" w:eastAsia="楷体" w:cs="楷体"/>
          <w:color w:val="auto"/>
          <w:sz w:val="32"/>
          <w:szCs w:val="32"/>
          <w:u w:val="none"/>
        </w:rPr>
        <w:t>制定本办法。</w:t>
      </w:r>
    </w:p>
    <w:p>
      <w:pPr>
        <w:ind w:firstLine="640" w:firstLineChars="200"/>
        <w:rPr>
          <w:rFonts w:hint="eastAsia" w:ascii="楷体" w:hAnsi="楷体" w:eastAsia="楷体" w:cs="楷体"/>
          <w:color w:val="auto"/>
          <w:sz w:val="32"/>
          <w:szCs w:val="32"/>
          <w:u w:val="none"/>
          <w:lang w:val="en-US" w:eastAsia="zh-CN"/>
        </w:rPr>
      </w:pPr>
      <w:r>
        <w:rPr>
          <w:rFonts w:hint="eastAsia" w:ascii="黑体" w:hAnsi="黑体" w:eastAsia="黑体" w:cs="黑体"/>
          <w:b w:val="0"/>
          <w:bCs w:val="0"/>
          <w:color w:val="auto"/>
          <w:sz w:val="32"/>
          <w:szCs w:val="32"/>
          <w:highlight w:val="none"/>
          <w:u w:val="none"/>
        </w:rPr>
        <w:t>第二条</w:t>
      </w:r>
      <w:r>
        <w:rPr>
          <w:rFonts w:hint="eastAsia" w:ascii="楷体" w:hAnsi="楷体" w:eastAsia="楷体" w:cs="楷体"/>
          <w:color w:val="auto"/>
          <w:sz w:val="32"/>
          <w:szCs w:val="32"/>
          <w:u w:val="none"/>
          <w:lang w:val="en-US" w:eastAsia="zh-CN"/>
        </w:rPr>
        <w:t xml:space="preserve"> 本办法所称兴安盟直属企业（以下简称企业）是指兴安盟盟委直接管理领导班子的企业和盟委管理主要负责人的企业</w:t>
      </w:r>
    </w:p>
    <w:p>
      <w:pPr>
        <w:ind w:firstLine="640" w:firstLineChars="200"/>
        <w:rPr>
          <w:rFonts w:hint="eastAsia" w:ascii="楷体" w:hAnsi="楷体" w:eastAsia="楷体" w:cs="楷体"/>
          <w:color w:val="auto"/>
          <w:sz w:val="32"/>
          <w:szCs w:val="32"/>
          <w:u w:val="none"/>
          <w:lang w:eastAsia="zh-CN"/>
        </w:rPr>
      </w:pPr>
      <w:r>
        <w:rPr>
          <w:rFonts w:hint="eastAsia" w:ascii="黑体" w:hAnsi="黑体" w:eastAsia="黑体" w:cs="黑体"/>
          <w:b w:val="0"/>
          <w:bCs w:val="0"/>
          <w:color w:val="auto"/>
          <w:sz w:val="32"/>
          <w:szCs w:val="32"/>
          <w:highlight w:val="none"/>
          <w:u w:val="none"/>
        </w:rPr>
        <w:t>第三条</w:t>
      </w:r>
      <w:r>
        <w:rPr>
          <w:rFonts w:hint="eastAsia" w:ascii="楷体" w:hAnsi="楷体" w:eastAsia="楷体" w:cs="楷体"/>
          <w:color w:val="auto"/>
          <w:sz w:val="32"/>
          <w:szCs w:val="32"/>
          <w:highlight w:val="none"/>
          <w:u w:val="none"/>
          <w:lang w:val="en-US" w:eastAsia="zh-CN"/>
        </w:rPr>
        <w:t xml:space="preserve"> </w:t>
      </w:r>
      <w:r>
        <w:rPr>
          <w:rFonts w:hint="eastAsia" w:ascii="楷体" w:hAnsi="楷体" w:eastAsia="楷体" w:cs="楷体"/>
          <w:color w:val="auto"/>
          <w:sz w:val="32"/>
          <w:szCs w:val="32"/>
          <w:u w:val="none"/>
          <w:lang w:val="en-US" w:eastAsia="zh-CN"/>
        </w:rPr>
        <w:t>本办法所称企业负责人，是指企业的领导班子成</w:t>
      </w:r>
      <w:r>
        <w:rPr>
          <w:rFonts w:hint="eastAsia" w:ascii="楷体" w:hAnsi="楷体" w:eastAsia="楷体" w:cs="楷体"/>
          <w:color w:val="auto"/>
          <w:sz w:val="32"/>
          <w:szCs w:val="32"/>
          <w:u w:val="none"/>
        </w:rPr>
        <w:t>员,</w:t>
      </w:r>
      <w:r>
        <w:rPr>
          <w:rFonts w:hint="eastAsia" w:ascii="楷体" w:hAnsi="楷体" w:eastAsia="楷体" w:cs="楷体"/>
          <w:color w:val="auto"/>
          <w:sz w:val="32"/>
          <w:szCs w:val="32"/>
          <w:u w:val="none"/>
          <w:lang w:val="en-US" w:eastAsia="zh-CN"/>
        </w:rPr>
        <w:t>主要</w:t>
      </w:r>
      <w:r>
        <w:rPr>
          <w:rFonts w:hint="eastAsia" w:ascii="楷体" w:hAnsi="楷体" w:eastAsia="楷体" w:cs="楷体"/>
          <w:color w:val="auto"/>
          <w:sz w:val="32"/>
          <w:szCs w:val="32"/>
          <w:u w:val="none"/>
        </w:rPr>
        <w:t>包括</w:t>
      </w:r>
      <w:r>
        <w:rPr>
          <w:rFonts w:hint="eastAsia" w:ascii="楷体" w:hAnsi="楷体" w:eastAsia="楷体" w:cs="楷体"/>
          <w:color w:val="auto"/>
          <w:sz w:val="32"/>
          <w:szCs w:val="32"/>
          <w:u w:val="none"/>
          <w:lang w:val="en-US" w:eastAsia="zh-CN"/>
        </w:rPr>
        <w:t>下列人员</w:t>
      </w:r>
      <w:r>
        <w:rPr>
          <w:rFonts w:hint="eastAsia" w:ascii="楷体" w:hAnsi="楷体" w:eastAsia="楷体" w:cs="楷体"/>
          <w:color w:val="auto"/>
          <w:sz w:val="32"/>
          <w:szCs w:val="32"/>
          <w:u w:val="none"/>
          <w:lang w:eastAsia="zh-CN"/>
        </w:rPr>
        <w:t>：</w:t>
      </w:r>
    </w:p>
    <w:p>
      <w:pPr>
        <w:ind w:firstLine="640" w:firstLineChars="200"/>
        <w:rPr>
          <w:rFonts w:hint="eastAsia" w:ascii="楷体" w:hAnsi="楷体" w:eastAsia="楷体" w:cs="楷体"/>
          <w:color w:val="auto"/>
          <w:sz w:val="32"/>
          <w:szCs w:val="32"/>
          <w:u w:val="none"/>
          <w:lang w:val="en-US" w:eastAsia="zh-CN"/>
        </w:rPr>
      </w:pP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lang w:val="en-US" w:eastAsia="zh-CN"/>
        </w:rPr>
        <w:t>一</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lang w:val="en-US" w:eastAsia="zh-CN"/>
        </w:rPr>
        <w:t>党组织书记、副书记、委员；</w:t>
      </w:r>
    </w:p>
    <w:p>
      <w:pPr>
        <w:ind w:firstLine="640" w:firstLineChars="200"/>
        <w:rPr>
          <w:rFonts w:hint="eastAsia" w:ascii="楷体" w:hAnsi="楷体" w:eastAsia="楷体" w:cs="楷体"/>
          <w:color w:val="auto"/>
          <w:sz w:val="32"/>
          <w:szCs w:val="32"/>
          <w:u w:val="none"/>
          <w:lang w:val="en-US" w:eastAsia="zh-CN"/>
        </w:rPr>
      </w:pP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lang w:val="en-US" w:eastAsia="zh-CN"/>
        </w:rPr>
        <w:t>二</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董事长</w:t>
      </w:r>
      <w:r>
        <w:rPr>
          <w:rFonts w:hint="eastAsia" w:ascii="楷体" w:hAnsi="楷体" w:eastAsia="楷体" w:cs="楷体"/>
          <w:color w:val="auto"/>
          <w:sz w:val="32"/>
          <w:szCs w:val="32"/>
          <w:u w:val="none"/>
          <w:lang w:val="en-US" w:eastAsia="zh-CN"/>
        </w:rPr>
        <w:t>、董事（不含外部董事、职工董事）；</w:t>
      </w:r>
    </w:p>
    <w:p>
      <w:pPr>
        <w:ind w:firstLine="640" w:firstLineChars="200"/>
        <w:rPr>
          <w:rFonts w:hint="eastAsia" w:ascii="楷体" w:hAnsi="楷体" w:eastAsia="楷体" w:cs="楷体"/>
          <w:color w:val="auto"/>
          <w:sz w:val="32"/>
          <w:szCs w:val="32"/>
          <w:u w:val="none"/>
          <w:lang w:val="en-US" w:eastAsia="zh-CN"/>
        </w:rPr>
      </w:pPr>
      <w:r>
        <w:rPr>
          <w:rFonts w:hint="eastAsia" w:ascii="楷体" w:hAnsi="楷体" w:eastAsia="楷体" w:cs="楷体"/>
          <w:color w:val="auto"/>
          <w:sz w:val="32"/>
          <w:szCs w:val="32"/>
          <w:u w:val="none"/>
          <w:lang w:val="en-US" w:eastAsia="zh-CN"/>
        </w:rPr>
        <w:t>（三）总经理（总裁）、副总经理；</w:t>
      </w:r>
    </w:p>
    <w:p>
      <w:pPr>
        <w:ind w:firstLine="640" w:firstLineChars="200"/>
        <w:rPr>
          <w:rFonts w:hint="eastAsia" w:ascii="楷体" w:hAnsi="楷体" w:eastAsia="楷体" w:cs="楷体"/>
          <w:color w:val="auto"/>
          <w:sz w:val="32"/>
          <w:szCs w:val="32"/>
          <w:u w:val="none"/>
          <w:lang w:val="en-US" w:eastAsia="zh-CN"/>
        </w:rPr>
      </w:pPr>
      <w:r>
        <w:rPr>
          <w:rFonts w:hint="eastAsia" w:ascii="楷体" w:hAnsi="楷体" w:eastAsia="楷体" w:cs="楷体"/>
          <w:color w:val="auto"/>
          <w:sz w:val="32"/>
          <w:szCs w:val="32"/>
          <w:u w:val="none"/>
          <w:lang w:val="en-US" w:eastAsia="zh-CN"/>
        </w:rPr>
        <w:t>（四）其他明确为企业领导职务的人员。</w:t>
      </w:r>
    </w:p>
    <w:p>
      <w:p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第四条</w:t>
      </w:r>
      <w:r>
        <w:rPr>
          <w:rFonts w:hint="eastAsia" w:ascii="楷体" w:hAnsi="楷体" w:eastAsia="楷体" w:cs="楷体"/>
          <w:color w:val="auto"/>
          <w:sz w:val="32"/>
          <w:szCs w:val="32"/>
          <w:u w:val="none"/>
        </w:rPr>
        <w:t xml:space="preserve"> 本办法所称履职待遇,是指为企业负责人履行工作职责提供的工作保障和条件,主要包括公务用车、办公用房、培训等。</w:t>
      </w:r>
    </w:p>
    <w:p>
      <w:pPr>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本办法所称业务支出,是指企业负责人在生产经营活动中因履行工作职责所发生的费用支出,主要包括业务招待、国内差旅、因公临时出国(境)、通信等方面的支出。</w:t>
      </w:r>
    </w:p>
    <w:p>
      <w:p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第五条</w:t>
      </w:r>
      <w:r>
        <w:rPr>
          <w:rFonts w:hint="eastAsia" w:ascii="楷体" w:hAnsi="楷体" w:eastAsia="楷体" w:cs="楷体"/>
          <w:color w:val="auto"/>
          <w:sz w:val="32"/>
          <w:szCs w:val="32"/>
          <w:u w:val="none"/>
        </w:rPr>
        <w:t xml:space="preserve"> 确定企业负责人履职待遇、业务支出,应当坚持依法依规、廉洁节俭、规范透明。</w:t>
      </w:r>
    </w:p>
    <w:p>
      <w:pPr>
        <w:ind w:firstLine="2880" w:firstLineChars="900"/>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第二章 履职待遇</w:t>
      </w:r>
    </w:p>
    <w:p>
      <w:p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第六条</w:t>
      </w:r>
      <w:r>
        <w:rPr>
          <w:rFonts w:hint="eastAsia" w:ascii="楷体" w:hAnsi="楷体" w:eastAsia="楷体" w:cs="楷体"/>
          <w:color w:val="auto"/>
          <w:sz w:val="32"/>
          <w:szCs w:val="32"/>
          <w:u w:val="none"/>
        </w:rPr>
        <w:t xml:space="preserve"> 企业应当合理配置、有效使用公务用车资源,规范企业负责人公务</w:t>
      </w:r>
      <w:r>
        <w:rPr>
          <w:rFonts w:hint="eastAsia" w:ascii="楷体" w:hAnsi="楷体" w:eastAsia="楷体" w:cs="楷体"/>
          <w:color w:val="auto"/>
          <w:sz w:val="32"/>
          <w:szCs w:val="32"/>
          <w:highlight w:val="none"/>
          <w:u w:val="none"/>
        </w:rPr>
        <w:t>用车配备</w:t>
      </w:r>
      <w:r>
        <w:rPr>
          <w:rFonts w:hint="eastAsia" w:ascii="楷体" w:hAnsi="楷体" w:eastAsia="楷体" w:cs="楷体"/>
          <w:color w:val="auto"/>
          <w:sz w:val="32"/>
          <w:szCs w:val="32"/>
          <w:highlight w:val="none"/>
          <w:u w:val="none"/>
          <w:lang w:eastAsia="zh-CN"/>
        </w:rPr>
        <w:t>、</w:t>
      </w:r>
      <w:r>
        <w:rPr>
          <w:rFonts w:hint="eastAsia" w:ascii="楷体" w:hAnsi="楷体" w:eastAsia="楷体" w:cs="楷体"/>
          <w:color w:val="auto"/>
          <w:sz w:val="32"/>
          <w:szCs w:val="32"/>
          <w:highlight w:val="none"/>
          <w:u w:val="none"/>
        </w:rPr>
        <w:t>运行管理</w:t>
      </w:r>
      <w:r>
        <w:rPr>
          <w:rFonts w:hint="eastAsia" w:ascii="楷体" w:hAnsi="楷体" w:eastAsia="楷体" w:cs="楷体"/>
          <w:color w:val="auto"/>
          <w:sz w:val="32"/>
          <w:szCs w:val="32"/>
          <w:highlight w:val="none"/>
          <w:u w:val="none"/>
          <w:lang w:val="en-US" w:eastAsia="zh-CN"/>
        </w:rPr>
        <w:t>和处置</w:t>
      </w:r>
      <w:r>
        <w:rPr>
          <w:rFonts w:hint="eastAsia" w:ascii="楷体" w:hAnsi="楷体" w:eastAsia="楷体" w:cs="楷体"/>
          <w:color w:val="auto"/>
          <w:sz w:val="32"/>
          <w:szCs w:val="32"/>
          <w:u w:val="none"/>
        </w:rPr>
        <w:t>,有效保障企业负责人公务出行,降低公务用车成本。</w:t>
      </w:r>
    </w:p>
    <w:p>
      <w:pPr>
        <w:ind w:firstLine="640" w:firstLineChars="200"/>
        <w:rPr>
          <w:rFonts w:hint="eastAsia" w:ascii="楷体" w:hAnsi="楷体" w:eastAsia="楷体" w:cs="楷体"/>
          <w:color w:val="auto"/>
          <w:sz w:val="32"/>
          <w:szCs w:val="32"/>
          <w:u w:val="none"/>
          <w:lang w:val="en-US" w:eastAsia="zh-CN"/>
        </w:rPr>
      </w:pPr>
      <w:r>
        <w:rPr>
          <w:rFonts w:hint="eastAsia" w:ascii="黑体" w:hAnsi="黑体" w:eastAsia="黑体" w:cs="黑体"/>
          <w:b w:val="0"/>
          <w:bCs w:val="0"/>
          <w:color w:val="auto"/>
          <w:sz w:val="32"/>
          <w:szCs w:val="32"/>
          <w:u w:val="none"/>
        </w:rPr>
        <w:t>第七条</w:t>
      </w:r>
      <w:r>
        <w:rPr>
          <w:rFonts w:hint="eastAsia" w:ascii="楷体" w:hAnsi="楷体" w:eastAsia="楷体" w:cs="楷体"/>
          <w:color w:val="auto"/>
          <w:sz w:val="32"/>
          <w:szCs w:val="32"/>
          <w:u w:val="none"/>
        </w:rPr>
        <w:t xml:space="preserve"> </w:t>
      </w:r>
      <w:r>
        <w:rPr>
          <w:rFonts w:hint="eastAsia" w:ascii="楷体" w:hAnsi="楷体" w:eastAsia="楷体" w:cs="楷体"/>
          <w:color w:val="auto"/>
          <w:sz w:val="32"/>
          <w:szCs w:val="32"/>
          <w:u w:val="none"/>
          <w:lang w:val="en-US" w:eastAsia="zh-CN"/>
        </w:rPr>
        <w:t>企业负责人可以选择配备公务用车或者领取公务交通补贴，但不得同时配备公务用车和领取公务交通补贴。</w:t>
      </w:r>
    </w:p>
    <w:p>
      <w:pPr>
        <w:ind w:firstLine="640" w:firstLineChars="200"/>
        <w:rPr>
          <w:rFonts w:hint="eastAsia" w:ascii="楷体" w:hAnsi="楷体" w:eastAsia="楷体" w:cs="楷体"/>
          <w:color w:val="auto"/>
          <w:sz w:val="32"/>
          <w:szCs w:val="32"/>
          <w:u w:val="none"/>
          <w:lang w:val="en-US" w:eastAsia="zh-CN"/>
        </w:rPr>
      </w:pPr>
      <w:r>
        <w:rPr>
          <w:rFonts w:hint="eastAsia" w:ascii="楷体" w:hAnsi="楷体" w:eastAsia="楷体" w:cs="楷体"/>
          <w:color w:val="auto"/>
          <w:sz w:val="32"/>
          <w:szCs w:val="32"/>
          <w:u w:val="none"/>
          <w:lang w:val="en-US" w:eastAsia="zh-CN"/>
        </w:rPr>
        <w:t>市场化选聘的职业经理人，其薪酬构成中已经包括公务交通补贴的，不配备公务用车，不再为其报销公务用车或者另行发放公务交通补贴。</w:t>
      </w:r>
    </w:p>
    <w:p>
      <w:pPr>
        <w:ind w:firstLine="640" w:firstLineChars="200"/>
        <w:rPr>
          <w:rFonts w:hint="eastAsia" w:ascii="楷体" w:hAnsi="楷体" w:eastAsia="楷体" w:cs="楷体"/>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第八条</w:t>
      </w:r>
      <w:r>
        <w:rPr>
          <w:rFonts w:hint="eastAsia" w:ascii="楷体" w:hAnsi="楷体" w:eastAsia="楷体" w:cs="楷体"/>
          <w:color w:val="auto"/>
          <w:sz w:val="32"/>
          <w:szCs w:val="32"/>
          <w:u w:val="none"/>
          <w:lang w:val="en-US" w:eastAsia="zh-CN"/>
        </w:rPr>
        <w:t xml:space="preserve"> </w:t>
      </w:r>
      <w:r>
        <w:rPr>
          <w:rFonts w:hint="eastAsia" w:ascii="楷体" w:hAnsi="楷体" w:eastAsia="楷体" w:cs="楷体"/>
          <w:color w:val="auto"/>
          <w:sz w:val="32"/>
          <w:szCs w:val="32"/>
          <w:u w:val="none"/>
        </w:rPr>
        <w:t>企业可以为企业负责人按照1人1车或者多人1车配备(包括购置、租赁)公务用车,实行总量控制。</w:t>
      </w:r>
      <w:r>
        <w:rPr>
          <w:rFonts w:hint="eastAsia" w:ascii="楷体" w:hAnsi="楷体" w:eastAsia="楷体" w:cs="楷体"/>
          <w:color w:val="auto"/>
          <w:sz w:val="32"/>
          <w:szCs w:val="32"/>
          <w:u w:val="none"/>
          <w:lang w:val="en-US" w:eastAsia="zh-CN"/>
        </w:rPr>
        <w:t>企业采取统一调度等方式保障企业负责人公务用车的，属于为企业负责人配备公务用车。</w:t>
      </w:r>
    </w:p>
    <w:p>
      <w:pPr>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企业负责人可以配备排气量 1.8升以下、购车价格 18 万元以内(不含车辆购置税,下同)的汽车。</w:t>
      </w:r>
    </w:p>
    <w:p>
      <w:pPr>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企业生产经营场所位于矿山、林区、野外等地理环境或者道路条件较差地区、确需配备越野车的,可以配备越野车作为生产经营用车</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但越野车不得作为企业负责人固定用车,不得在企业所在地的城区内使用。</w:t>
      </w:r>
    </w:p>
    <w:p>
      <w:p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w:t>
      </w:r>
      <w:r>
        <w:rPr>
          <w:rFonts w:hint="eastAsia" w:ascii="黑体" w:hAnsi="黑体" w:eastAsia="黑体" w:cs="黑体"/>
          <w:b w:val="0"/>
          <w:bCs w:val="0"/>
          <w:color w:val="auto"/>
          <w:sz w:val="32"/>
          <w:szCs w:val="32"/>
          <w:u w:val="none"/>
          <w:lang w:val="en-US" w:eastAsia="zh-CN"/>
        </w:rPr>
        <w:t>九</w:t>
      </w:r>
      <w:r>
        <w:rPr>
          <w:rFonts w:hint="eastAsia" w:ascii="黑体" w:hAnsi="黑体" w:eastAsia="黑体" w:cs="黑体"/>
          <w:b w:val="0"/>
          <w:bCs w:val="0"/>
          <w:color w:val="auto"/>
          <w:sz w:val="32"/>
          <w:szCs w:val="32"/>
          <w:u w:val="none"/>
        </w:rPr>
        <w:t>条</w:t>
      </w:r>
      <w:r>
        <w:rPr>
          <w:rFonts w:hint="eastAsia" w:ascii="楷体" w:hAnsi="楷体" w:eastAsia="楷体" w:cs="楷体"/>
          <w:color w:val="auto"/>
          <w:sz w:val="32"/>
          <w:szCs w:val="32"/>
          <w:u w:val="none"/>
        </w:rPr>
        <w:t xml:space="preserve"> 企业负责人新配备公务用车的,应当严格执行</w:t>
      </w:r>
      <w:r>
        <w:rPr>
          <w:rFonts w:hint="eastAsia" w:ascii="楷体" w:hAnsi="楷体" w:eastAsia="楷体" w:cs="楷体"/>
          <w:color w:val="auto"/>
          <w:sz w:val="32"/>
          <w:szCs w:val="32"/>
          <w:u w:val="none"/>
          <w:lang w:val="en-US" w:eastAsia="zh-CN"/>
        </w:rPr>
        <w:t>配置</w:t>
      </w:r>
      <w:r>
        <w:rPr>
          <w:rFonts w:hint="eastAsia" w:ascii="楷体" w:hAnsi="楷体" w:eastAsia="楷体" w:cs="楷体"/>
          <w:color w:val="auto"/>
          <w:sz w:val="32"/>
          <w:szCs w:val="32"/>
          <w:u w:val="none"/>
        </w:rPr>
        <w:t>标准，选用国产汽车,优先选用新能源汽车,不得增加高档配置或者豪华内饰。</w:t>
      </w:r>
    </w:p>
    <w:p>
      <w:pPr>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企业负责人现有公务用车有效使用年限超过8年并且已经不能正常使用,或者车辆安全状况等不符合国家有关标准要求的,可以更新。</w:t>
      </w:r>
    </w:p>
    <w:p>
      <w:pPr>
        <w:ind w:firstLine="640" w:firstLineChars="200"/>
        <w:rPr>
          <w:rFonts w:hint="eastAsia" w:ascii="楷体" w:hAnsi="楷体" w:eastAsia="楷体" w:cs="楷体"/>
          <w:color w:val="auto"/>
          <w:sz w:val="32"/>
          <w:szCs w:val="32"/>
          <w:u w:val="none"/>
          <w:lang w:val="en-US" w:eastAsia="zh-CN"/>
        </w:rPr>
      </w:pPr>
      <w:r>
        <w:rPr>
          <w:rFonts w:hint="eastAsia" w:ascii="楷体" w:hAnsi="楷体" w:eastAsia="楷体" w:cs="楷体"/>
          <w:color w:val="auto"/>
          <w:sz w:val="32"/>
          <w:szCs w:val="32"/>
          <w:u w:val="none"/>
          <w:lang w:val="en-US" w:eastAsia="zh-CN"/>
        </w:rPr>
        <w:t>本办法实施前，企业负责人仍在使用的超标准公务用车，在未达到更新或者报废条件时，可以继续使用，在报废更新时应当按新标准配备；已租赁使用的公务用车超过配备标准的，应当按照规定配备标准重新租赁。</w:t>
      </w:r>
    </w:p>
    <w:p>
      <w:pPr>
        <w:ind w:firstLine="640" w:firstLineChars="200"/>
        <w:rPr>
          <w:rFonts w:hint="eastAsia" w:ascii="楷体" w:hAnsi="楷体" w:eastAsia="楷体" w:cs="楷体"/>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第十条</w:t>
      </w:r>
      <w:r>
        <w:rPr>
          <w:rFonts w:hint="eastAsia" w:ascii="楷体" w:hAnsi="楷体" w:eastAsia="楷体" w:cs="楷体"/>
          <w:color w:val="auto"/>
          <w:sz w:val="32"/>
          <w:szCs w:val="32"/>
          <w:u w:val="none"/>
          <w:lang w:val="en-US" w:eastAsia="zh-CN"/>
        </w:rPr>
        <w:t xml:space="preserve"> </w:t>
      </w:r>
      <w:r>
        <w:rPr>
          <w:rFonts w:hint="eastAsia" w:ascii="楷体" w:hAnsi="楷体" w:eastAsia="楷体" w:cs="楷体"/>
          <w:color w:val="auto"/>
          <w:sz w:val="32"/>
          <w:szCs w:val="32"/>
          <w:u w:val="none"/>
        </w:rPr>
        <w:t>企业</w:t>
      </w:r>
      <w:r>
        <w:rPr>
          <w:rFonts w:hint="eastAsia" w:ascii="楷体" w:hAnsi="楷体" w:eastAsia="楷体" w:cs="楷体"/>
          <w:color w:val="auto"/>
          <w:sz w:val="32"/>
          <w:szCs w:val="32"/>
          <w:u w:val="none"/>
          <w:lang w:val="en-US" w:eastAsia="zh-CN"/>
        </w:rPr>
        <w:t>因非政策性因素</w:t>
      </w:r>
      <w:r>
        <w:rPr>
          <w:rFonts w:hint="eastAsia" w:ascii="楷体" w:hAnsi="楷体" w:eastAsia="楷体" w:cs="楷体"/>
          <w:color w:val="auto"/>
          <w:sz w:val="32"/>
          <w:szCs w:val="32"/>
          <w:u w:val="none"/>
        </w:rPr>
        <w:t>亏损</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lang w:val="en-US" w:eastAsia="zh-CN"/>
        </w:rPr>
        <w:t>处于被托管、重组脱困，</w:t>
      </w:r>
      <w:r>
        <w:rPr>
          <w:rFonts w:hint="eastAsia" w:ascii="楷体" w:hAnsi="楷体" w:eastAsia="楷体" w:cs="楷体"/>
          <w:color w:val="auto"/>
          <w:sz w:val="32"/>
          <w:szCs w:val="32"/>
          <w:u w:val="none"/>
        </w:rPr>
        <w:t>以及拖欠职工工资、社会保险费用期间,不得为企业负责人购置、</w:t>
      </w:r>
      <w:r>
        <w:rPr>
          <w:rFonts w:hint="eastAsia" w:ascii="楷体" w:hAnsi="楷体" w:eastAsia="楷体" w:cs="楷体"/>
          <w:color w:val="auto"/>
          <w:sz w:val="32"/>
          <w:szCs w:val="32"/>
          <w:u w:val="none"/>
          <w:lang w:val="en-US" w:eastAsia="zh-CN"/>
        </w:rPr>
        <w:t>租赁、</w:t>
      </w:r>
      <w:r>
        <w:rPr>
          <w:rFonts w:hint="eastAsia" w:ascii="楷体" w:hAnsi="楷体" w:eastAsia="楷体" w:cs="楷体"/>
          <w:color w:val="auto"/>
          <w:sz w:val="32"/>
          <w:szCs w:val="32"/>
          <w:u w:val="none"/>
        </w:rPr>
        <w:t>更新公务用车。</w:t>
      </w:r>
    </w:p>
    <w:p>
      <w:pPr>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企业不得以任何方式换用、借用、占用子企业或者其他利益关系单位和个人的车辆供企业负责人使用,不得以抵顶账款等方式变相为企业负责人配备、更新公务用车。</w:t>
      </w:r>
    </w:p>
    <w:p>
      <w:pPr>
        <w:numPr>
          <w:ilvl w:val="0"/>
          <w:numId w:val="0"/>
        </w:numPr>
        <w:ind w:firstLine="640" w:firstLineChars="200"/>
        <w:rPr>
          <w:rFonts w:hint="eastAsia" w:ascii="楷体" w:hAnsi="楷体" w:eastAsia="楷体" w:cs="楷体"/>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第十一条</w:t>
      </w:r>
      <w:r>
        <w:rPr>
          <w:rFonts w:hint="eastAsia" w:ascii="楷体" w:hAnsi="楷体" w:eastAsia="楷体" w:cs="楷体"/>
          <w:color w:val="auto"/>
          <w:sz w:val="32"/>
          <w:szCs w:val="32"/>
          <w:u w:val="none"/>
          <w:lang w:val="en-US" w:eastAsia="zh-CN"/>
        </w:rPr>
        <w:t xml:space="preserve"> </w:t>
      </w:r>
      <w:r>
        <w:rPr>
          <w:rFonts w:hint="eastAsia" w:ascii="楷体" w:hAnsi="楷体" w:eastAsia="楷体" w:cs="楷体"/>
          <w:color w:val="auto"/>
          <w:sz w:val="32"/>
          <w:szCs w:val="32"/>
          <w:u w:val="none"/>
        </w:rPr>
        <w:t>企业负责人公务用车的保养、维修</w:t>
      </w:r>
      <w:r>
        <w:rPr>
          <w:rFonts w:hint="eastAsia" w:ascii="楷体" w:hAnsi="楷体" w:eastAsia="楷体" w:cs="楷体"/>
          <w:color w:val="auto"/>
          <w:sz w:val="32"/>
          <w:szCs w:val="32"/>
          <w:u w:val="none"/>
          <w:lang w:val="en-US" w:eastAsia="zh-CN"/>
        </w:rPr>
        <w:t>费用，</w:t>
      </w:r>
      <w:r>
        <w:rPr>
          <w:rFonts w:hint="eastAsia" w:ascii="楷体" w:hAnsi="楷体" w:eastAsia="楷体" w:cs="楷体"/>
          <w:color w:val="auto"/>
          <w:sz w:val="32"/>
          <w:szCs w:val="32"/>
          <w:u w:val="none"/>
        </w:rPr>
        <w:t>以及日常</w:t>
      </w:r>
      <w:r>
        <w:rPr>
          <w:rFonts w:hint="eastAsia" w:ascii="楷体" w:hAnsi="楷体" w:eastAsia="楷体" w:cs="楷体"/>
          <w:color w:val="auto"/>
          <w:sz w:val="32"/>
          <w:szCs w:val="32"/>
          <w:u w:val="none"/>
          <w:lang w:val="en-US" w:eastAsia="zh-CN"/>
        </w:rPr>
        <w:t>所发生的保险费、年检费、车船使用税、燃油费、停车以及过路费等各种运行费用，</w:t>
      </w:r>
      <w:r>
        <w:rPr>
          <w:rFonts w:hint="eastAsia" w:ascii="楷体" w:hAnsi="楷体" w:eastAsia="楷体" w:cs="楷体"/>
          <w:color w:val="auto"/>
          <w:sz w:val="32"/>
          <w:szCs w:val="32"/>
          <w:u w:val="none"/>
        </w:rPr>
        <w:t>实行单车核算,在预算额度内</w:t>
      </w:r>
      <w:r>
        <w:rPr>
          <w:rFonts w:hint="eastAsia" w:ascii="楷体" w:hAnsi="楷体" w:eastAsia="楷体" w:cs="楷体"/>
          <w:color w:val="auto"/>
          <w:sz w:val="32"/>
          <w:szCs w:val="32"/>
          <w:u w:val="none"/>
          <w:lang w:val="en-US" w:eastAsia="zh-CN"/>
        </w:rPr>
        <w:t>按照财务制度严格规范支出。</w:t>
      </w:r>
    </w:p>
    <w:p>
      <w:pPr>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企业应当对公务用车实行定点保养和维修,合理控制保养和维修费用,不得将车辆保养和维修费用以货币形式发放给个人。</w:t>
      </w:r>
    </w:p>
    <w:p>
      <w:pPr>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第十</w:t>
      </w:r>
      <w:r>
        <w:rPr>
          <w:rFonts w:hint="eastAsia" w:ascii="楷体" w:hAnsi="楷体" w:eastAsia="楷体" w:cs="楷体"/>
          <w:color w:val="auto"/>
          <w:sz w:val="32"/>
          <w:szCs w:val="32"/>
          <w:u w:val="none"/>
          <w:lang w:val="en-US" w:eastAsia="zh-CN"/>
        </w:rPr>
        <w:t>二</w:t>
      </w:r>
      <w:r>
        <w:rPr>
          <w:rFonts w:hint="eastAsia" w:ascii="楷体" w:hAnsi="楷体" w:eastAsia="楷体" w:cs="楷体"/>
          <w:color w:val="auto"/>
          <w:sz w:val="32"/>
          <w:szCs w:val="32"/>
          <w:u w:val="none"/>
        </w:rPr>
        <w:t>条 企业负责人公务用车</w:t>
      </w:r>
      <w:r>
        <w:rPr>
          <w:rFonts w:hint="eastAsia" w:ascii="楷体" w:hAnsi="楷体" w:eastAsia="楷体" w:cs="楷体"/>
          <w:color w:val="auto"/>
          <w:sz w:val="32"/>
          <w:szCs w:val="32"/>
          <w:u w:val="none"/>
          <w:lang w:eastAsia="zh-CN"/>
        </w:rPr>
        <w:t>的</w:t>
      </w:r>
      <w:r>
        <w:rPr>
          <w:rFonts w:hint="eastAsia" w:ascii="楷体" w:hAnsi="楷体" w:eastAsia="楷体" w:cs="楷体"/>
          <w:color w:val="auto"/>
          <w:sz w:val="32"/>
          <w:szCs w:val="32"/>
          <w:u w:val="none"/>
        </w:rPr>
        <w:t>报废、出售等处置，</w:t>
      </w:r>
      <w:r>
        <w:rPr>
          <w:rFonts w:hint="eastAsia" w:ascii="楷体" w:hAnsi="楷体" w:eastAsia="楷体" w:cs="楷体"/>
          <w:color w:val="auto"/>
          <w:sz w:val="32"/>
          <w:szCs w:val="32"/>
          <w:u w:val="none"/>
          <w:lang w:val="en-US" w:eastAsia="zh-CN"/>
        </w:rPr>
        <w:t>应当</w:t>
      </w:r>
      <w:r>
        <w:rPr>
          <w:rFonts w:hint="eastAsia" w:ascii="楷体" w:hAnsi="楷体" w:eastAsia="楷体" w:cs="楷体"/>
          <w:color w:val="auto"/>
          <w:sz w:val="32"/>
          <w:szCs w:val="32"/>
          <w:u w:val="none"/>
        </w:rPr>
        <w:t>按照国有企业资产处置有关规定执行。</w:t>
      </w:r>
    </w:p>
    <w:p>
      <w:p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第十三条</w:t>
      </w:r>
      <w:r>
        <w:rPr>
          <w:rFonts w:hint="eastAsia" w:ascii="楷体" w:hAnsi="楷体" w:eastAsia="楷体" w:cs="楷体"/>
          <w:color w:val="auto"/>
          <w:sz w:val="32"/>
          <w:szCs w:val="32"/>
          <w:u w:val="none"/>
        </w:rPr>
        <w:t xml:space="preserve"> 企业负责人原则上只配置使用</w:t>
      </w:r>
      <w:r>
        <w:rPr>
          <w:rFonts w:hint="eastAsia" w:ascii="楷体" w:hAnsi="楷体" w:eastAsia="楷体" w:cs="楷体"/>
          <w:color w:val="auto"/>
          <w:sz w:val="32"/>
          <w:szCs w:val="32"/>
          <w:u w:val="none"/>
          <w:lang w:val="en-US" w:eastAsia="zh-CN"/>
        </w:rPr>
        <w:t>1</w:t>
      </w:r>
      <w:r>
        <w:rPr>
          <w:rFonts w:hint="eastAsia" w:ascii="楷体" w:hAnsi="楷体" w:eastAsia="楷体" w:cs="楷体"/>
          <w:color w:val="auto"/>
          <w:sz w:val="32"/>
          <w:szCs w:val="32"/>
          <w:u w:val="none"/>
        </w:rPr>
        <w:t>处办公用房,</w:t>
      </w:r>
      <w:r>
        <w:rPr>
          <w:rFonts w:hint="eastAsia" w:ascii="楷体" w:hAnsi="楷体" w:eastAsia="楷体" w:cs="楷体"/>
          <w:color w:val="auto"/>
          <w:sz w:val="32"/>
          <w:szCs w:val="32"/>
          <w:u w:val="none"/>
          <w:lang w:val="en-US" w:eastAsia="zh-CN"/>
        </w:rPr>
        <w:t>确因异地工作需要另行配置办公用房的，经企业内部审批后，可以在规定的面积标准内再安排1处办公用房，相关情况应当向履行出资人职责的机构备案。</w:t>
      </w:r>
    </w:p>
    <w:p>
      <w:pPr>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企业负责人不得租用宾馆、酒店房间作为办公用房。</w:t>
      </w:r>
    </w:p>
    <w:p>
      <w:pPr>
        <w:numPr>
          <w:ilvl w:val="0"/>
          <w:numId w:val="0"/>
        </w:numPr>
        <w:ind w:firstLine="640" w:firstLineChars="200"/>
        <w:rPr>
          <w:rFonts w:hint="eastAsia" w:ascii="楷体" w:hAnsi="楷体" w:eastAsia="楷体" w:cs="楷体"/>
          <w:b w:val="0"/>
          <w:bCs w:val="0"/>
          <w:color w:val="auto"/>
          <w:sz w:val="32"/>
          <w:szCs w:val="32"/>
          <w:u w:val="none"/>
        </w:rPr>
      </w:pPr>
      <w:r>
        <w:rPr>
          <w:rFonts w:hint="eastAsia" w:ascii="黑体" w:hAnsi="黑体" w:eastAsia="黑体" w:cs="黑体"/>
          <w:b w:val="0"/>
          <w:bCs w:val="0"/>
          <w:color w:val="auto"/>
          <w:sz w:val="32"/>
          <w:szCs w:val="32"/>
          <w:u w:val="none"/>
          <w:lang w:val="en-US" w:eastAsia="zh-CN"/>
        </w:rPr>
        <w:t>第十四条</w:t>
      </w:r>
      <w:r>
        <w:rPr>
          <w:rFonts w:hint="eastAsia" w:ascii="楷体" w:hAnsi="楷体" w:eastAsia="楷体" w:cs="楷体"/>
          <w:color w:val="auto"/>
          <w:sz w:val="32"/>
          <w:szCs w:val="32"/>
          <w:u w:val="none"/>
          <w:lang w:val="en-US" w:eastAsia="zh-CN"/>
        </w:rPr>
        <w:t xml:space="preserve"> </w:t>
      </w:r>
      <w:r>
        <w:rPr>
          <w:rFonts w:hint="eastAsia" w:ascii="楷体" w:hAnsi="楷体" w:eastAsia="楷体" w:cs="楷体"/>
          <w:color w:val="auto"/>
          <w:sz w:val="32"/>
          <w:szCs w:val="32"/>
          <w:u w:val="none"/>
        </w:rPr>
        <w:t>企业</w:t>
      </w:r>
      <w:r>
        <w:rPr>
          <w:rFonts w:hint="eastAsia" w:ascii="楷体" w:hAnsi="楷体" w:eastAsia="楷体" w:cs="楷体"/>
          <w:color w:val="auto"/>
          <w:sz w:val="32"/>
          <w:szCs w:val="32"/>
          <w:u w:val="none"/>
          <w:lang w:val="en-US" w:eastAsia="zh-CN"/>
        </w:rPr>
        <w:t>主要</w:t>
      </w:r>
      <w:r>
        <w:rPr>
          <w:rFonts w:hint="eastAsia" w:ascii="楷体" w:hAnsi="楷体" w:eastAsia="楷体" w:cs="楷体"/>
          <w:color w:val="auto"/>
          <w:sz w:val="32"/>
          <w:szCs w:val="32"/>
          <w:u w:val="none"/>
        </w:rPr>
        <w:t>负责人办公用房使用面积不得超过 24平方米,</w:t>
      </w:r>
      <w:r>
        <w:rPr>
          <w:rFonts w:hint="eastAsia" w:ascii="楷体" w:hAnsi="楷体" w:eastAsia="楷体" w:cs="楷体"/>
          <w:color w:val="auto"/>
          <w:sz w:val="32"/>
          <w:szCs w:val="32"/>
          <w:u w:val="none"/>
          <w:lang w:val="en-US" w:eastAsia="zh-CN"/>
        </w:rPr>
        <w:t>企业其他负责人办公用房使用面积</w:t>
      </w:r>
      <w:r>
        <w:rPr>
          <w:rFonts w:hint="eastAsia" w:ascii="楷体" w:hAnsi="楷体" w:eastAsia="楷体" w:cs="楷体"/>
          <w:b w:val="0"/>
          <w:bCs w:val="0"/>
          <w:color w:val="auto"/>
          <w:sz w:val="32"/>
          <w:szCs w:val="32"/>
          <w:u w:val="none"/>
          <w:lang w:val="en-US" w:eastAsia="zh-CN"/>
        </w:rPr>
        <w:t>按照盟直机关行政事业单位办公用房使用标准，对照相应职级参照执行。</w:t>
      </w:r>
    </w:p>
    <w:p>
      <w:pPr>
        <w:numPr>
          <w:ilvl w:val="0"/>
          <w:numId w:val="0"/>
        </w:numPr>
        <w:ind w:firstLine="640" w:firstLineChars="200"/>
        <w:rPr>
          <w:rFonts w:hint="eastAsia" w:ascii="楷体" w:hAnsi="楷体" w:eastAsia="楷体" w:cs="楷体"/>
          <w:color w:val="auto"/>
          <w:sz w:val="32"/>
          <w:szCs w:val="32"/>
          <w:u w:val="none"/>
          <w:lang w:val="en-US" w:eastAsia="zh-CN"/>
        </w:rPr>
      </w:pPr>
      <w:r>
        <w:rPr>
          <w:rFonts w:hint="eastAsia" w:ascii="楷体" w:hAnsi="楷体" w:eastAsia="楷体" w:cs="楷体"/>
          <w:color w:val="auto"/>
          <w:sz w:val="32"/>
          <w:szCs w:val="32"/>
          <w:u w:val="none"/>
          <w:lang w:val="en-US" w:eastAsia="zh-CN"/>
        </w:rPr>
        <w:t>办公用房使用面积是指进入办公用房后所有可达区域的套内面积（含办公区域、休息室、卫生间、接待室等）。</w:t>
      </w:r>
    </w:p>
    <w:p>
      <w:pPr>
        <w:numPr>
          <w:ilvl w:val="0"/>
          <w:numId w:val="0"/>
        </w:num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lang w:val="en-US" w:eastAsia="zh-CN"/>
        </w:rPr>
        <w:t>第十五条</w:t>
      </w:r>
      <w:r>
        <w:rPr>
          <w:rFonts w:hint="eastAsia" w:ascii="楷体" w:hAnsi="楷体" w:eastAsia="楷体" w:cs="楷体"/>
          <w:color w:val="auto"/>
          <w:sz w:val="32"/>
          <w:szCs w:val="32"/>
          <w:u w:val="none"/>
          <w:lang w:val="en-US" w:eastAsia="zh-CN"/>
        </w:rPr>
        <w:t xml:space="preserve"> </w:t>
      </w:r>
      <w:r>
        <w:rPr>
          <w:rFonts w:hint="eastAsia" w:ascii="楷体" w:hAnsi="楷体" w:eastAsia="楷体" w:cs="楷体"/>
          <w:color w:val="auto"/>
          <w:sz w:val="32"/>
          <w:szCs w:val="32"/>
          <w:u w:val="none"/>
        </w:rPr>
        <w:t>企业负责人应当按照简朴、庄重、经济、实用的原则装修办公用房,严禁豪华装修办公用房、购置高档办公家具及用品。</w:t>
      </w:r>
    </w:p>
    <w:p>
      <w:pPr>
        <w:numPr>
          <w:ilvl w:val="0"/>
          <w:numId w:val="0"/>
        </w:numPr>
        <w:ind w:firstLine="640" w:firstLineChars="200"/>
        <w:rPr>
          <w:rFonts w:hint="eastAsia" w:ascii="楷体" w:hAnsi="楷体" w:eastAsia="楷体" w:cs="楷体"/>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第十六条</w:t>
      </w:r>
      <w:r>
        <w:rPr>
          <w:rFonts w:hint="eastAsia" w:ascii="楷体" w:hAnsi="楷体" w:eastAsia="楷体" w:cs="楷体"/>
          <w:color w:val="auto"/>
          <w:sz w:val="32"/>
          <w:szCs w:val="32"/>
          <w:u w:val="none"/>
          <w:lang w:val="en-US" w:eastAsia="zh-CN"/>
        </w:rPr>
        <w:t xml:space="preserve"> </w:t>
      </w:r>
      <w:r>
        <w:rPr>
          <w:rFonts w:hint="eastAsia" w:ascii="楷体" w:hAnsi="楷体" w:eastAsia="楷体" w:cs="楷体"/>
          <w:color w:val="auto"/>
          <w:sz w:val="32"/>
          <w:szCs w:val="32"/>
          <w:u w:val="none"/>
        </w:rPr>
        <w:t>企业</w:t>
      </w:r>
      <w:r>
        <w:rPr>
          <w:rFonts w:hint="eastAsia" w:ascii="楷体" w:hAnsi="楷体" w:eastAsia="楷体" w:cs="楷体"/>
          <w:color w:val="auto"/>
          <w:sz w:val="32"/>
          <w:szCs w:val="32"/>
          <w:u w:val="none"/>
          <w:lang w:val="en-US" w:eastAsia="zh-CN"/>
        </w:rPr>
        <w:t>因非政策性因素</w:t>
      </w:r>
      <w:r>
        <w:rPr>
          <w:rFonts w:hint="eastAsia" w:ascii="楷体" w:hAnsi="楷体" w:eastAsia="楷体" w:cs="楷体"/>
          <w:color w:val="auto"/>
          <w:sz w:val="32"/>
          <w:szCs w:val="32"/>
          <w:u w:val="none"/>
        </w:rPr>
        <w:t>亏损</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lang w:val="en-US" w:eastAsia="zh-CN"/>
        </w:rPr>
        <w:t>处于被托管、重组脱困，</w:t>
      </w:r>
      <w:r>
        <w:rPr>
          <w:rFonts w:hint="eastAsia" w:ascii="楷体" w:hAnsi="楷体" w:eastAsia="楷体" w:cs="楷体"/>
          <w:color w:val="auto"/>
          <w:sz w:val="32"/>
          <w:szCs w:val="32"/>
          <w:u w:val="none"/>
        </w:rPr>
        <w:t>以及拖欠职工工资、社会保险费用期间,不得为企业负责人</w:t>
      </w:r>
      <w:r>
        <w:rPr>
          <w:rFonts w:hint="eastAsia" w:ascii="楷体" w:hAnsi="楷体" w:eastAsia="楷体" w:cs="楷体"/>
          <w:color w:val="auto"/>
          <w:sz w:val="32"/>
          <w:szCs w:val="32"/>
          <w:u w:val="none"/>
          <w:lang w:val="en-US" w:eastAsia="zh-CN"/>
        </w:rPr>
        <w:t>更新、装修办公用房</w:t>
      </w:r>
      <w:r>
        <w:rPr>
          <w:rFonts w:hint="eastAsia" w:ascii="楷体" w:hAnsi="楷体" w:eastAsia="楷体" w:cs="楷体"/>
          <w:color w:val="auto"/>
          <w:sz w:val="32"/>
          <w:szCs w:val="32"/>
          <w:u w:val="none"/>
        </w:rPr>
        <w:t>。</w:t>
      </w:r>
    </w:p>
    <w:p>
      <w:p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lang w:val="en-US" w:eastAsia="zh-CN"/>
        </w:rPr>
        <w:t>第十七条</w:t>
      </w:r>
      <w:r>
        <w:rPr>
          <w:rFonts w:hint="eastAsia" w:ascii="楷体" w:hAnsi="楷体" w:eastAsia="楷体" w:cs="楷体"/>
          <w:color w:val="auto"/>
          <w:sz w:val="32"/>
          <w:szCs w:val="32"/>
          <w:u w:val="none"/>
        </w:rPr>
        <w:t xml:space="preserve"> 企业应当建立培训管理制度,围绕提高企业负责人政治和专业素质、创新和经营管理能力开展必要培训,合理安排培训内容,加强培训费用管理。</w:t>
      </w:r>
    </w:p>
    <w:p>
      <w:p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第十</w:t>
      </w:r>
      <w:r>
        <w:rPr>
          <w:rFonts w:hint="eastAsia" w:ascii="黑体" w:hAnsi="黑体" w:eastAsia="黑体" w:cs="黑体"/>
          <w:b w:val="0"/>
          <w:bCs w:val="0"/>
          <w:color w:val="auto"/>
          <w:sz w:val="32"/>
          <w:szCs w:val="32"/>
          <w:u w:val="none"/>
          <w:lang w:val="en-US" w:eastAsia="zh-CN"/>
        </w:rPr>
        <w:t>八</w:t>
      </w:r>
      <w:r>
        <w:rPr>
          <w:rFonts w:hint="eastAsia" w:ascii="黑体" w:hAnsi="黑体" w:eastAsia="黑体" w:cs="黑体"/>
          <w:b w:val="0"/>
          <w:bCs w:val="0"/>
          <w:color w:val="auto"/>
          <w:sz w:val="32"/>
          <w:szCs w:val="32"/>
          <w:u w:val="none"/>
        </w:rPr>
        <w:t>条</w:t>
      </w:r>
      <w:r>
        <w:rPr>
          <w:rFonts w:hint="eastAsia" w:ascii="楷体" w:hAnsi="楷体" w:eastAsia="楷体" w:cs="楷体"/>
          <w:color w:val="auto"/>
          <w:sz w:val="32"/>
          <w:szCs w:val="32"/>
          <w:u w:val="none"/>
        </w:rPr>
        <w:t xml:space="preserve"> 企业负责人参加上级部门组织的培训所发生的培训费用可以据实列支。</w:t>
      </w:r>
    </w:p>
    <w:p>
      <w:pPr>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企业自行组织的企业负责人培训,培训费用标准人均每天不得超过400元，师资费用可以另外列支。</w:t>
      </w:r>
    </w:p>
    <w:p>
      <w:pPr>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企业负责人参加出国培训应当严格执行国家有关出国(境)培训管理规定,不得参加无实质需要的国(境)外培训。</w:t>
      </w:r>
    </w:p>
    <w:p>
      <w:pPr>
        <w:numPr>
          <w:ilvl w:val="0"/>
          <w:numId w:val="0"/>
        </w:num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lang w:val="en-US" w:eastAsia="zh-CN"/>
        </w:rPr>
        <w:t>第十九条</w:t>
      </w:r>
      <w:r>
        <w:rPr>
          <w:rFonts w:hint="eastAsia" w:ascii="楷体" w:hAnsi="楷体" w:eastAsia="楷体" w:cs="楷体"/>
          <w:color w:val="auto"/>
          <w:sz w:val="32"/>
          <w:szCs w:val="32"/>
          <w:u w:val="none"/>
          <w:lang w:val="en-US" w:eastAsia="zh-CN"/>
        </w:rPr>
        <w:t xml:space="preserve"> </w:t>
      </w:r>
      <w:r>
        <w:rPr>
          <w:rFonts w:hint="eastAsia" w:ascii="楷体" w:hAnsi="楷体" w:eastAsia="楷体" w:cs="楷体"/>
          <w:color w:val="auto"/>
          <w:sz w:val="32"/>
          <w:szCs w:val="32"/>
          <w:u w:val="none"/>
        </w:rPr>
        <w:t>企业负责人参加的各种学历教育以及为取得学位而参加在职教育的费用应当由个人承担。</w:t>
      </w:r>
    </w:p>
    <w:p>
      <w:pPr>
        <w:numPr>
          <w:ilvl w:val="0"/>
          <w:numId w:val="0"/>
        </w:num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lang w:val="en-US" w:eastAsia="zh-CN"/>
        </w:rPr>
        <w:t>第二十条</w:t>
      </w:r>
      <w:r>
        <w:rPr>
          <w:rFonts w:hint="eastAsia" w:ascii="楷体" w:hAnsi="楷体" w:eastAsia="楷体" w:cs="楷体"/>
          <w:color w:val="auto"/>
          <w:sz w:val="32"/>
          <w:szCs w:val="32"/>
          <w:u w:val="none"/>
          <w:lang w:val="en-US" w:eastAsia="zh-CN"/>
        </w:rPr>
        <w:t xml:space="preserve"> </w:t>
      </w:r>
      <w:r>
        <w:rPr>
          <w:rFonts w:hint="eastAsia" w:ascii="楷体" w:hAnsi="楷体" w:eastAsia="楷体" w:cs="楷体"/>
          <w:color w:val="auto"/>
          <w:sz w:val="32"/>
          <w:szCs w:val="32"/>
          <w:u w:val="none"/>
        </w:rPr>
        <w:t>企业</w:t>
      </w:r>
      <w:r>
        <w:rPr>
          <w:rFonts w:hint="eastAsia" w:ascii="楷体" w:hAnsi="楷体" w:eastAsia="楷体" w:cs="楷体"/>
          <w:color w:val="auto"/>
          <w:sz w:val="32"/>
          <w:szCs w:val="32"/>
          <w:u w:val="none"/>
          <w:lang w:val="en-US" w:eastAsia="zh-CN"/>
        </w:rPr>
        <w:t>因非政策性因素</w:t>
      </w:r>
      <w:r>
        <w:rPr>
          <w:rFonts w:hint="eastAsia" w:ascii="楷体" w:hAnsi="楷体" w:eastAsia="楷体" w:cs="楷体"/>
          <w:color w:val="auto"/>
          <w:sz w:val="32"/>
          <w:szCs w:val="32"/>
          <w:u w:val="none"/>
        </w:rPr>
        <w:t>亏损</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lang w:val="en-US" w:eastAsia="zh-CN"/>
        </w:rPr>
        <w:t>处于被托管、重组脱困，</w:t>
      </w:r>
      <w:r>
        <w:rPr>
          <w:rFonts w:hint="eastAsia" w:ascii="楷体" w:hAnsi="楷体" w:eastAsia="楷体" w:cs="楷体"/>
          <w:color w:val="auto"/>
          <w:sz w:val="32"/>
          <w:szCs w:val="32"/>
          <w:u w:val="none"/>
        </w:rPr>
        <w:t>以及拖欠职工工资、社会保险费用期间,不得为企业负责人</w:t>
      </w:r>
      <w:r>
        <w:rPr>
          <w:rFonts w:hint="eastAsia" w:ascii="楷体" w:hAnsi="楷体" w:eastAsia="楷体" w:cs="楷体"/>
          <w:color w:val="auto"/>
          <w:sz w:val="32"/>
          <w:szCs w:val="32"/>
          <w:u w:val="none"/>
          <w:lang w:val="en-US" w:eastAsia="zh-CN"/>
        </w:rPr>
        <w:t>自行组织培训、企业负责人不得参加出国培训</w:t>
      </w:r>
      <w:r>
        <w:rPr>
          <w:rFonts w:hint="eastAsia" w:ascii="楷体" w:hAnsi="楷体" w:eastAsia="楷体" w:cs="楷体"/>
          <w:color w:val="auto"/>
          <w:sz w:val="32"/>
          <w:szCs w:val="32"/>
          <w:u w:val="none"/>
        </w:rPr>
        <w:t>。</w:t>
      </w:r>
    </w:p>
    <w:p>
      <w:pPr>
        <w:numPr>
          <w:ilvl w:val="0"/>
          <w:numId w:val="0"/>
        </w:numPr>
        <w:ind w:firstLine="2880" w:firstLineChars="900"/>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第三章 业务支出</w:t>
      </w:r>
    </w:p>
    <w:p>
      <w:pPr>
        <w:numPr>
          <w:ilvl w:val="0"/>
          <w:numId w:val="0"/>
        </w:num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第二十一条</w:t>
      </w:r>
      <w:r>
        <w:rPr>
          <w:rFonts w:hint="eastAsia" w:ascii="楷体" w:hAnsi="楷体" w:eastAsia="楷体" w:cs="楷体"/>
          <w:color w:val="auto"/>
          <w:sz w:val="32"/>
          <w:szCs w:val="32"/>
          <w:u w:val="none"/>
        </w:rPr>
        <w:t xml:space="preserve"> 企业应当建立企业负责人业务招待管理制度，合理确定各类业务招待费用标准。明确业务招待活动的申请、审批、实施、报销等流程，由企业相关部门编制预算、组织实施、统一结算。对企业负责人每次业务招待活动实行招待费用总额和人均费用双控管理，严格控制陪同人数。</w:t>
      </w:r>
    </w:p>
    <w:p>
      <w:pPr>
        <w:numPr>
          <w:ilvl w:val="0"/>
          <w:numId w:val="0"/>
        </w:num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第二十二条</w:t>
      </w:r>
      <w:r>
        <w:rPr>
          <w:rFonts w:hint="eastAsia" w:ascii="楷体" w:hAnsi="楷体" w:eastAsia="楷体" w:cs="楷体"/>
          <w:color w:val="auto"/>
          <w:sz w:val="32"/>
          <w:szCs w:val="32"/>
          <w:u w:val="none"/>
        </w:rPr>
        <w:t xml:space="preserve"> 企业负责人的业务招待活动，应当在本企业食堂或者定点饭店进行。外事招待应当遵循服务外交、友好对等、务实节俭的原则，从严控制招待费用支出。</w:t>
      </w:r>
    </w:p>
    <w:p>
      <w:pPr>
        <w:numPr>
          <w:ilvl w:val="0"/>
          <w:numId w:val="0"/>
        </w:numPr>
        <w:ind w:firstLine="640" w:firstLineChars="200"/>
        <w:rPr>
          <w:rFonts w:hint="eastAsia" w:ascii="楷体" w:hAnsi="楷体" w:eastAsia="楷体" w:cs="楷体"/>
          <w:color w:val="auto"/>
          <w:sz w:val="32"/>
          <w:szCs w:val="32"/>
          <w:u w:val="none"/>
          <w:lang w:eastAsia="zh-CN"/>
        </w:rPr>
      </w:pPr>
      <w:r>
        <w:rPr>
          <w:rFonts w:hint="eastAsia" w:ascii="黑体" w:hAnsi="黑体" w:eastAsia="黑体" w:cs="黑体"/>
          <w:b w:val="0"/>
          <w:bCs w:val="0"/>
          <w:color w:val="auto"/>
          <w:sz w:val="32"/>
          <w:szCs w:val="32"/>
          <w:u w:val="none"/>
        </w:rPr>
        <w:t>第二十三条</w:t>
      </w:r>
      <w:r>
        <w:rPr>
          <w:rFonts w:hint="eastAsia" w:ascii="楷体" w:hAnsi="楷体" w:eastAsia="楷体" w:cs="楷体"/>
          <w:color w:val="auto"/>
          <w:sz w:val="32"/>
          <w:szCs w:val="32"/>
          <w:u w:val="none"/>
        </w:rPr>
        <w:t xml:space="preserve"> 企业负责人开展商务和外事活动业务招待，应当合理确定标准，区内人均每次不得超过</w:t>
      </w:r>
      <w:r>
        <w:rPr>
          <w:rFonts w:hint="eastAsia" w:ascii="楷体" w:hAnsi="楷体" w:eastAsia="楷体" w:cs="楷体"/>
          <w:b w:val="0"/>
          <w:bCs w:val="0"/>
          <w:color w:val="auto"/>
          <w:sz w:val="32"/>
          <w:szCs w:val="32"/>
          <w:u w:val="none"/>
          <w:lang w:val="en-US" w:eastAsia="zh-CN"/>
        </w:rPr>
        <w:t>200</w:t>
      </w:r>
      <w:r>
        <w:rPr>
          <w:rFonts w:hint="eastAsia" w:ascii="楷体" w:hAnsi="楷体" w:eastAsia="楷体" w:cs="楷体"/>
          <w:b w:val="0"/>
          <w:bCs w:val="0"/>
          <w:color w:val="auto"/>
          <w:sz w:val="32"/>
          <w:szCs w:val="32"/>
          <w:u w:val="none"/>
        </w:rPr>
        <w:t xml:space="preserve"> 元，区外人均每次不得超过</w:t>
      </w:r>
      <w:r>
        <w:rPr>
          <w:rFonts w:hint="eastAsia" w:ascii="楷体" w:hAnsi="楷体" w:eastAsia="楷体" w:cs="楷体"/>
          <w:b w:val="0"/>
          <w:bCs w:val="0"/>
          <w:color w:val="auto"/>
          <w:sz w:val="32"/>
          <w:szCs w:val="32"/>
          <w:u w:val="none"/>
          <w:lang w:val="en-US" w:eastAsia="zh-CN"/>
        </w:rPr>
        <w:t>300</w:t>
      </w:r>
      <w:r>
        <w:rPr>
          <w:rFonts w:hint="eastAsia" w:ascii="楷体" w:hAnsi="楷体" w:eastAsia="楷体" w:cs="楷体"/>
          <w:b w:val="0"/>
          <w:bCs w:val="0"/>
          <w:color w:val="auto"/>
          <w:sz w:val="32"/>
          <w:szCs w:val="32"/>
          <w:u w:val="none"/>
        </w:rPr>
        <w:t>元。接待对象</w:t>
      </w:r>
      <w:r>
        <w:rPr>
          <w:rFonts w:hint="eastAsia" w:ascii="楷体" w:hAnsi="楷体" w:eastAsia="楷体" w:cs="楷体"/>
          <w:b w:val="0"/>
          <w:bCs w:val="0"/>
          <w:color w:val="auto"/>
          <w:sz w:val="32"/>
          <w:szCs w:val="32"/>
          <w:u w:val="none"/>
          <w:lang w:val="en-US" w:eastAsia="zh-CN"/>
        </w:rPr>
        <w:t>10</w:t>
      </w:r>
      <w:r>
        <w:rPr>
          <w:rFonts w:hint="eastAsia" w:ascii="楷体" w:hAnsi="楷体" w:eastAsia="楷体" w:cs="楷体"/>
          <w:b w:val="0"/>
          <w:bCs w:val="0"/>
          <w:color w:val="auto"/>
          <w:sz w:val="32"/>
          <w:szCs w:val="32"/>
          <w:u w:val="none"/>
        </w:rPr>
        <w:t>人</w:t>
      </w:r>
      <w:r>
        <w:rPr>
          <w:rFonts w:hint="eastAsia" w:ascii="楷体" w:hAnsi="楷体" w:eastAsia="楷体" w:cs="楷体"/>
          <w:b w:val="0"/>
          <w:bCs w:val="0"/>
          <w:color w:val="auto"/>
          <w:sz w:val="32"/>
          <w:szCs w:val="32"/>
          <w:u w:val="none"/>
          <w:lang w:eastAsia="zh-CN"/>
        </w:rPr>
        <w:t>（</w:t>
      </w:r>
      <w:r>
        <w:rPr>
          <w:rFonts w:hint="eastAsia" w:ascii="楷体" w:hAnsi="楷体" w:eastAsia="楷体" w:cs="楷体"/>
          <w:b w:val="0"/>
          <w:bCs w:val="0"/>
          <w:color w:val="auto"/>
          <w:sz w:val="32"/>
          <w:szCs w:val="32"/>
          <w:u w:val="none"/>
        </w:rPr>
        <w:t>含</w:t>
      </w:r>
      <w:r>
        <w:rPr>
          <w:rFonts w:hint="eastAsia" w:ascii="楷体" w:hAnsi="楷体" w:eastAsia="楷体" w:cs="楷体"/>
          <w:b w:val="0"/>
          <w:bCs w:val="0"/>
          <w:color w:val="auto"/>
          <w:sz w:val="32"/>
          <w:szCs w:val="32"/>
          <w:u w:val="none"/>
          <w:lang w:eastAsia="zh-CN"/>
        </w:rPr>
        <w:t>）</w:t>
      </w:r>
      <w:r>
        <w:rPr>
          <w:rFonts w:hint="eastAsia" w:ascii="楷体" w:hAnsi="楷体" w:eastAsia="楷体" w:cs="楷体"/>
          <w:b w:val="0"/>
          <w:bCs w:val="0"/>
          <w:color w:val="auto"/>
          <w:sz w:val="32"/>
          <w:szCs w:val="32"/>
          <w:u w:val="none"/>
        </w:rPr>
        <w:t>以内的，陪餐人数</w:t>
      </w:r>
      <w:r>
        <w:rPr>
          <w:rFonts w:hint="eastAsia" w:ascii="楷体" w:hAnsi="楷体" w:eastAsia="楷体" w:cs="楷体"/>
          <w:b w:val="0"/>
          <w:bCs w:val="0"/>
          <w:color w:val="auto"/>
          <w:sz w:val="32"/>
          <w:szCs w:val="32"/>
          <w:u w:val="none"/>
          <w:lang w:val="en-US" w:eastAsia="zh-CN"/>
        </w:rPr>
        <w:t>不得超过3人，超过10人的，不得超过接待对象人数的1/3。</w:t>
      </w:r>
      <w:r>
        <w:rPr>
          <w:rFonts w:hint="eastAsia" w:ascii="楷体" w:hAnsi="楷体" w:eastAsia="楷体" w:cs="楷体"/>
          <w:b w:val="0"/>
          <w:bCs w:val="0"/>
          <w:color w:val="auto"/>
          <w:sz w:val="32"/>
          <w:szCs w:val="32"/>
          <w:u w:val="none"/>
        </w:rPr>
        <w:t>确需赠送纪念品的，纪念品价格人均不得超过</w:t>
      </w:r>
      <w:r>
        <w:rPr>
          <w:rFonts w:hint="eastAsia" w:ascii="楷体" w:hAnsi="楷体" w:eastAsia="楷体" w:cs="楷体"/>
          <w:b w:val="0"/>
          <w:bCs w:val="0"/>
          <w:color w:val="auto"/>
          <w:sz w:val="32"/>
          <w:szCs w:val="32"/>
          <w:u w:val="none"/>
          <w:lang w:val="en-US" w:eastAsia="zh-CN"/>
        </w:rPr>
        <w:t>200</w:t>
      </w:r>
      <w:r>
        <w:rPr>
          <w:rFonts w:hint="eastAsia" w:ascii="楷体" w:hAnsi="楷体" w:eastAsia="楷体" w:cs="楷体"/>
          <w:b w:val="0"/>
          <w:bCs w:val="0"/>
          <w:color w:val="auto"/>
          <w:sz w:val="32"/>
          <w:szCs w:val="32"/>
          <w:u w:val="none"/>
        </w:rPr>
        <w:t>元。</w:t>
      </w:r>
      <w:r>
        <w:rPr>
          <w:rFonts w:hint="eastAsia" w:ascii="楷体" w:hAnsi="楷体" w:eastAsia="楷体" w:cs="楷体"/>
          <w:color w:val="auto"/>
          <w:sz w:val="32"/>
          <w:szCs w:val="32"/>
          <w:u w:val="none"/>
        </w:rPr>
        <w:t>不得赠送现金和购物卡、消费卡、商业预付卡等各种有价证券、支付凭证以及贵重物品等。</w:t>
      </w:r>
    </w:p>
    <w:p>
      <w:pPr>
        <w:numPr>
          <w:ilvl w:val="0"/>
          <w:numId w:val="0"/>
        </w:numPr>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其他公务接待活动参照</w:t>
      </w:r>
      <w:r>
        <w:rPr>
          <w:rFonts w:hint="eastAsia" w:ascii="楷体" w:hAnsi="楷体" w:eastAsia="楷体" w:cs="楷体"/>
          <w:color w:val="auto"/>
          <w:sz w:val="32"/>
          <w:szCs w:val="32"/>
          <w:u w:val="none"/>
          <w:lang w:val="en-US" w:eastAsia="zh-CN"/>
        </w:rPr>
        <w:t>兴安盟</w:t>
      </w:r>
      <w:r>
        <w:rPr>
          <w:rFonts w:hint="eastAsia" w:ascii="楷体" w:hAnsi="楷体" w:eastAsia="楷体" w:cs="楷体"/>
          <w:color w:val="auto"/>
          <w:sz w:val="32"/>
          <w:szCs w:val="32"/>
          <w:u w:val="none"/>
        </w:rPr>
        <w:t>本级党政机关公务接待标准执行，</w:t>
      </w:r>
      <w:r>
        <w:rPr>
          <w:rFonts w:hint="eastAsia" w:ascii="楷体" w:hAnsi="楷体" w:eastAsia="楷体" w:cs="楷体"/>
          <w:b w:val="0"/>
          <w:bCs w:val="0"/>
          <w:color w:val="auto"/>
          <w:sz w:val="32"/>
          <w:szCs w:val="32"/>
          <w:u w:val="none"/>
        </w:rPr>
        <w:t>不得赠送纪念品。</w:t>
      </w:r>
    </w:p>
    <w:p>
      <w:pPr>
        <w:numPr>
          <w:ilvl w:val="0"/>
          <w:numId w:val="0"/>
        </w:num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第二十四条</w:t>
      </w:r>
      <w:r>
        <w:rPr>
          <w:rFonts w:hint="eastAsia" w:ascii="楷体" w:hAnsi="楷体" w:eastAsia="楷体" w:cs="楷体"/>
          <w:color w:val="auto"/>
          <w:sz w:val="32"/>
          <w:szCs w:val="32"/>
          <w:u w:val="none"/>
        </w:rPr>
        <w:t xml:space="preserve"> 企业负责人业务招待费用报销内容应当与业务招待活动内容一致，不得以会议、培训、调研等费用的名义虚列、隐匿。</w:t>
      </w:r>
    </w:p>
    <w:p>
      <w:pPr>
        <w:numPr>
          <w:ilvl w:val="0"/>
          <w:numId w:val="0"/>
        </w:num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第二十五条</w:t>
      </w:r>
      <w:r>
        <w:rPr>
          <w:rFonts w:hint="eastAsia" w:ascii="楷体" w:hAnsi="楷体" w:eastAsia="楷体" w:cs="楷体"/>
          <w:color w:val="auto"/>
          <w:sz w:val="32"/>
          <w:szCs w:val="32"/>
          <w:u w:val="none"/>
        </w:rPr>
        <w:t xml:space="preserve"> 企业应当根据国家、自治区</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lang w:val="en-US" w:eastAsia="zh-CN"/>
        </w:rPr>
        <w:t>兴安盟</w:t>
      </w:r>
      <w:r>
        <w:rPr>
          <w:rFonts w:hint="eastAsia" w:ascii="楷体" w:hAnsi="楷体" w:eastAsia="楷体" w:cs="楷体"/>
          <w:color w:val="auto"/>
          <w:sz w:val="32"/>
          <w:szCs w:val="32"/>
          <w:u w:val="none"/>
        </w:rPr>
        <w:t>有关规定和财务会计制度，结合企业生产经营实际和国际化经营需要，建立企业负责人国内差旅和因公临时出国</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境</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管理制度，合理确定乘坐交通工具的类型和等级以及住宿、就餐等标准。</w:t>
      </w:r>
    </w:p>
    <w:p>
      <w:pPr>
        <w:numPr>
          <w:ilvl w:val="0"/>
          <w:numId w:val="0"/>
        </w:numPr>
        <w:ind w:firstLine="640" w:firstLineChars="200"/>
        <w:rPr>
          <w:rFonts w:hint="eastAsia" w:ascii="楷体" w:hAnsi="楷体" w:eastAsia="楷体" w:cs="楷体"/>
          <w:b w:val="0"/>
          <w:bCs w:val="0"/>
          <w:color w:val="auto"/>
          <w:sz w:val="32"/>
          <w:szCs w:val="32"/>
          <w:u w:val="none"/>
        </w:rPr>
      </w:pPr>
      <w:r>
        <w:rPr>
          <w:rFonts w:hint="eastAsia" w:ascii="楷体" w:hAnsi="楷体" w:eastAsia="楷体" w:cs="楷体"/>
          <w:b w:val="0"/>
          <w:bCs w:val="0"/>
          <w:color w:val="auto"/>
          <w:sz w:val="32"/>
          <w:szCs w:val="32"/>
          <w:u w:val="none"/>
        </w:rPr>
        <w:t>企业负责人国内出差可以乘坐火车硬席（硬座、硬卧），高铁/动车二等座、全列软席列车二等软座，轮船三等舱和飞机经济舱。企业主要负责人因公临时出国</w:t>
      </w:r>
      <w:r>
        <w:rPr>
          <w:rFonts w:hint="eastAsia" w:ascii="楷体" w:hAnsi="楷体" w:eastAsia="楷体" w:cs="楷体"/>
          <w:b w:val="0"/>
          <w:bCs w:val="0"/>
          <w:color w:val="auto"/>
          <w:sz w:val="32"/>
          <w:szCs w:val="32"/>
          <w:u w:val="none"/>
          <w:lang w:eastAsia="zh-CN"/>
        </w:rPr>
        <w:t>（</w:t>
      </w:r>
      <w:r>
        <w:rPr>
          <w:rFonts w:hint="eastAsia" w:ascii="楷体" w:hAnsi="楷体" w:eastAsia="楷体" w:cs="楷体"/>
          <w:b w:val="0"/>
          <w:bCs w:val="0"/>
          <w:color w:val="auto"/>
          <w:sz w:val="32"/>
          <w:szCs w:val="32"/>
          <w:u w:val="none"/>
        </w:rPr>
        <w:t>境</w:t>
      </w:r>
      <w:r>
        <w:rPr>
          <w:rFonts w:hint="eastAsia" w:ascii="楷体" w:hAnsi="楷体" w:eastAsia="楷体" w:cs="楷体"/>
          <w:b w:val="0"/>
          <w:bCs w:val="0"/>
          <w:color w:val="auto"/>
          <w:sz w:val="32"/>
          <w:szCs w:val="32"/>
          <w:u w:val="none"/>
          <w:lang w:eastAsia="zh-CN"/>
        </w:rPr>
        <w:t>）</w:t>
      </w:r>
      <w:r>
        <w:rPr>
          <w:rFonts w:hint="eastAsia" w:ascii="楷体" w:hAnsi="楷体" w:eastAsia="楷体" w:cs="楷体"/>
          <w:b w:val="0"/>
          <w:bCs w:val="0"/>
          <w:color w:val="auto"/>
          <w:sz w:val="32"/>
          <w:szCs w:val="32"/>
          <w:u w:val="none"/>
        </w:rPr>
        <w:t>可以乘坐飞机经济舱。</w:t>
      </w:r>
    </w:p>
    <w:p>
      <w:pPr>
        <w:numPr>
          <w:ilvl w:val="0"/>
          <w:numId w:val="0"/>
        </w:numPr>
        <w:ind w:firstLine="640" w:firstLineChars="200"/>
        <w:rPr>
          <w:rFonts w:hint="eastAsia" w:ascii="楷体" w:hAnsi="楷体" w:eastAsia="楷体" w:cs="楷体"/>
          <w:b w:val="0"/>
          <w:bCs w:val="0"/>
          <w:color w:val="auto"/>
          <w:sz w:val="32"/>
          <w:szCs w:val="32"/>
          <w:u w:val="none"/>
        </w:rPr>
      </w:pPr>
      <w:r>
        <w:rPr>
          <w:rFonts w:hint="eastAsia" w:ascii="楷体" w:hAnsi="楷体" w:eastAsia="楷体" w:cs="楷体"/>
          <w:b w:val="0"/>
          <w:bCs w:val="0"/>
          <w:color w:val="auto"/>
          <w:sz w:val="32"/>
          <w:szCs w:val="32"/>
          <w:u w:val="none"/>
        </w:rPr>
        <w:t>未按规定等级乘坐交通工具的，超标、超支部分由个人自理。确因特殊原因需超过规定等级乘坐交通工具并据实报销的，应当履行企业内部审批程序，做好登记备案。</w:t>
      </w:r>
    </w:p>
    <w:p>
      <w:pPr>
        <w:numPr>
          <w:ilvl w:val="0"/>
          <w:numId w:val="0"/>
        </w:num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第二十六条</w:t>
      </w:r>
      <w:r>
        <w:rPr>
          <w:rFonts w:hint="eastAsia" w:ascii="楷体" w:hAnsi="楷体" w:eastAsia="楷体" w:cs="楷体"/>
          <w:color w:val="auto"/>
          <w:sz w:val="32"/>
          <w:szCs w:val="32"/>
          <w:u w:val="none"/>
        </w:rPr>
        <w:t xml:space="preserve"> 企业不得安排无明确公务目的的国内差旅、考察等活动。</w:t>
      </w:r>
    </w:p>
    <w:p>
      <w:pPr>
        <w:numPr>
          <w:ilvl w:val="0"/>
          <w:numId w:val="0"/>
        </w:numPr>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企业应当保障企业负责人处理本企业及其所出资企业境外经营管理业务的出国</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境</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活动，不得安排照顾性和无实质性内容的一般性出访，不得安排与因公临时出国</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境</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任务无关的人员随行，不得以任何理由绕道旅游或者以过境名义变相增加出访国家和地区，不得无故延长因公出国</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境</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时间。</w:t>
      </w:r>
    </w:p>
    <w:p>
      <w:pPr>
        <w:numPr>
          <w:ilvl w:val="0"/>
          <w:numId w:val="0"/>
        </w:num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第二十七条</w:t>
      </w:r>
      <w:r>
        <w:rPr>
          <w:rFonts w:hint="eastAsia" w:ascii="楷体" w:hAnsi="楷体" w:eastAsia="楷体" w:cs="楷体"/>
          <w:color w:val="auto"/>
          <w:sz w:val="32"/>
          <w:szCs w:val="32"/>
          <w:u w:val="none"/>
        </w:rPr>
        <w:t xml:space="preserve"> 企业应当严格规范国</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境</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外接待工作，严禁超标准接待。</w:t>
      </w:r>
    </w:p>
    <w:p>
      <w:pPr>
        <w:numPr>
          <w:ilvl w:val="0"/>
          <w:numId w:val="0"/>
        </w:num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第二十八条</w:t>
      </w:r>
      <w:r>
        <w:rPr>
          <w:rFonts w:hint="eastAsia" w:ascii="楷体" w:hAnsi="楷体" w:eastAsia="楷体" w:cs="楷体"/>
          <w:color w:val="auto"/>
          <w:sz w:val="32"/>
          <w:szCs w:val="32"/>
          <w:u w:val="none"/>
        </w:rPr>
        <w:t xml:space="preserve"> 企业应当结合生产经营实际和电信市场资费水平，合理确定企业负责人通信费用年度预算控制额度，在预算额度内按照财务制度据实报销，超出部分不予报销。企业不得以任何名目为企业负责人发放通信补贴。企业负责人因公务活动发生的通信费用包括移动通信费用和住宅通信费用。</w:t>
      </w:r>
    </w:p>
    <w:p>
      <w:pPr>
        <w:numPr>
          <w:ilvl w:val="0"/>
          <w:numId w:val="0"/>
        </w:numPr>
        <w:ind w:firstLine="640" w:firstLineChars="200"/>
        <w:rPr>
          <w:rFonts w:hint="eastAsia" w:ascii="楷体" w:hAnsi="楷体" w:eastAsia="楷体" w:cs="楷体"/>
          <w:b/>
          <w:bCs/>
          <w:color w:val="auto"/>
          <w:sz w:val="32"/>
          <w:szCs w:val="32"/>
          <w:u w:val="none"/>
        </w:rPr>
      </w:pPr>
      <w:r>
        <w:rPr>
          <w:rFonts w:hint="eastAsia" w:ascii="楷体" w:hAnsi="楷体" w:eastAsia="楷体" w:cs="楷体"/>
          <w:color w:val="auto"/>
          <w:sz w:val="32"/>
          <w:szCs w:val="32"/>
          <w:u w:val="none"/>
        </w:rPr>
        <w:t>市场化选聘的职业经理人，其薪酬构成中已经包括通信补贴的，不再为其报销通信费用或者另行发放通信补贴。</w:t>
      </w:r>
    </w:p>
    <w:p>
      <w:pPr>
        <w:numPr>
          <w:ilvl w:val="0"/>
          <w:numId w:val="0"/>
        </w:numPr>
        <w:ind w:firstLine="2560" w:firstLineChars="800"/>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第四章 预算管理</w:t>
      </w:r>
    </w:p>
    <w:p>
      <w:pPr>
        <w:numPr>
          <w:ilvl w:val="0"/>
          <w:numId w:val="0"/>
        </w:num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第二十九条</w:t>
      </w:r>
      <w:r>
        <w:rPr>
          <w:rFonts w:hint="eastAsia" w:ascii="楷体" w:hAnsi="楷体" w:eastAsia="楷体" w:cs="楷体"/>
          <w:color w:val="auto"/>
          <w:sz w:val="32"/>
          <w:szCs w:val="32"/>
          <w:u w:val="none"/>
        </w:rPr>
        <w:t xml:space="preserve"> 企业应当根据年度生产经营实际，结合企业负责人履行工作职责需要，对企业负责人履职待遇、业务支出年度费用水平作出预计安排，纳入年度预算。</w:t>
      </w:r>
    </w:p>
    <w:p>
      <w:pPr>
        <w:numPr>
          <w:ilvl w:val="0"/>
          <w:numId w:val="0"/>
        </w:num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第三十条</w:t>
      </w:r>
      <w:r>
        <w:rPr>
          <w:rFonts w:hint="eastAsia" w:ascii="楷体" w:hAnsi="楷体" w:eastAsia="楷体" w:cs="楷体"/>
          <w:color w:val="auto"/>
          <w:sz w:val="32"/>
          <w:szCs w:val="32"/>
          <w:u w:val="none"/>
        </w:rPr>
        <w:t xml:space="preserve"> 企业应当按照人员、分项目逐级编制企业负责人履职待遇、业务支出年度预算，并建立内部审批制度。履行预算管理审批程序后，应当于每年5月底前报送履行出资人职责的机构备案。</w:t>
      </w:r>
    </w:p>
    <w:p>
      <w:pPr>
        <w:numPr>
          <w:ilvl w:val="0"/>
          <w:numId w:val="0"/>
        </w:numPr>
        <w:ind w:firstLine="643" w:firstLineChars="200"/>
        <w:rPr>
          <w:rFonts w:hint="eastAsia" w:ascii="楷体" w:hAnsi="楷体" w:eastAsia="楷体" w:cs="楷体"/>
          <w:color w:val="auto"/>
          <w:sz w:val="32"/>
          <w:szCs w:val="32"/>
          <w:u w:val="none"/>
          <w:lang w:eastAsia="zh-CN"/>
        </w:rPr>
      </w:pPr>
      <w:r>
        <w:rPr>
          <w:rFonts w:hint="eastAsia" w:ascii="黑体" w:hAnsi="黑体" w:eastAsia="黑体" w:cs="黑体"/>
          <w:b/>
          <w:bCs/>
          <w:color w:val="auto"/>
          <w:sz w:val="32"/>
          <w:szCs w:val="32"/>
          <w:u w:val="none"/>
        </w:rPr>
        <w:t>第三十一条</w:t>
      </w:r>
      <w:r>
        <w:rPr>
          <w:rFonts w:hint="eastAsia" w:ascii="楷体" w:hAnsi="楷体" w:eastAsia="楷体" w:cs="楷体"/>
          <w:color w:val="auto"/>
          <w:sz w:val="32"/>
          <w:szCs w:val="32"/>
          <w:u w:val="none"/>
        </w:rPr>
        <w:t xml:space="preserve"> 企业向履行出资人职责的机构备案企业负责人履职待遇、业务支出年度预算，应当包括下列事项</w:t>
      </w:r>
      <w:r>
        <w:rPr>
          <w:rFonts w:hint="eastAsia" w:ascii="楷体" w:hAnsi="楷体" w:eastAsia="楷体" w:cs="楷体"/>
          <w:color w:val="auto"/>
          <w:sz w:val="32"/>
          <w:szCs w:val="32"/>
          <w:u w:val="none"/>
          <w:lang w:eastAsia="zh-CN"/>
        </w:rPr>
        <w:t>：</w:t>
      </w:r>
    </w:p>
    <w:p>
      <w:pPr>
        <w:numPr>
          <w:ilvl w:val="0"/>
          <w:numId w:val="0"/>
        </w:numPr>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lang w:val="en-US" w:eastAsia="zh-CN"/>
        </w:rPr>
        <w:t>一</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上年度预算执行情况;</w:t>
      </w:r>
    </w:p>
    <w:p>
      <w:pPr>
        <w:numPr>
          <w:ilvl w:val="0"/>
          <w:numId w:val="0"/>
        </w:numPr>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lang w:val="en-US" w:eastAsia="zh-CN"/>
        </w:rPr>
        <w:t>二</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本年度预算情况;</w:t>
      </w:r>
    </w:p>
    <w:p>
      <w:pPr>
        <w:numPr>
          <w:ilvl w:val="0"/>
          <w:numId w:val="0"/>
        </w:numPr>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lang w:val="en-US" w:eastAsia="zh-CN"/>
        </w:rPr>
        <w:t>三</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本年度预算总体水平与上年度对比分析;</w:t>
      </w:r>
    </w:p>
    <w:p>
      <w:pPr>
        <w:numPr>
          <w:ilvl w:val="0"/>
          <w:numId w:val="0"/>
        </w:numPr>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lang w:val="en-US" w:eastAsia="zh-CN"/>
        </w:rPr>
        <w:t>四</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本年度预算总体水平与企业经营收入和费用支出预算的匹配情况;</w:t>
      </w:r>
    </w:p>
    <w:p>
      <w:pPr>
        <w:numPr>
          <w:ilvl w:val="0"/>
          <w:numId w:val="0"/>
        </w:numPr>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lang w:val="en-US" w:eastAsia="zh-CN"/>
        </w:rPr>
        <w:t>五</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其他应当报送备案的事项。</w:t>
      </w:r>
    </w:p>
    <w:p>
      <w:pPr>
        <w:numPr>
          <w:ilvl w:val="0"/>
          <w:numId w:val="0"/>
        </w:num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第三十二条</w:t>
      </w:r>
      <w:r>
        <w:rPr>
          <w:rFonts w:hint="eastAsia" w:ascii="黑体" w:hAnsi="黑体" w:eastAsia="黑体" w:cs="黑体"/>
          <w:b w:val="0"/>
          <w:bCs w:val="0"/>
          <w:color w:val="auto"/>
          <w:sz w:val="32"/>
          <w:szCs w:val="32"/>
          <w:u w:val="none"/>
          <w:lang w:val="en-US" w:eastAsia="zh-CN"/>
        </w:rPr>
        <w:t xml:space="preserve"> </w:t>
      </w:r>
      <w:r>
        <w:rPr>
          <w:rFonts w:hint="eastAsia" w:ascii="楷体" w:hAnsi="楷体" w:eastAsia="楷体" w:cs="楷体"/>
          <w:color w:val="auto"/>
          <w:sz w:val="32"/>
          <w:szCs w:val="32"/>
          <w:u w:val="none"/>
        </w:rPr>
        <w:t>企业因非政策性因素亏损、处于被托管、重组脱困，以及拖欠职工工资、社会保险费用的，下年度履职待遇、业务支出年度预算较上年削减 20%，其中，减亏企业在不拖欠职工工资、社会保险费用的情况下，可以较上年削减 10%。</w:t>
      </w:r>
    </w:p>
    <w:p>
      <w:pPr>
        <w:numPr>
          <w:ilvl w:val="0"/>
          <w:numId w:val="0"/>
        </w:num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第三十三条</w:t>
      </w:r>
      <w:r>
        <w:rPr>
          <w:rFonts w:hint="eastAsia" w:ascii="楷体" w:hAnsi="楷体" w:eastAsia="楷体" w:cs="楷体"/>
          <w:color w:val="auto"/>
          <w:sz w:val="32"/>
          <w:szCs w:val="32"/>
          <w:u w:val="none"/>
        </w:rPr>
        <w:t xml:space="preserve"> 企业负责人履职待遇、业务支出年度预算执行过程中，如果预算编制基本条件发生重大变化、确需调整预算的，经履行预算管理审批程序后，可以调整预算，并于当年10月底前重新报送履行出资人职责的机构备案。</w:t>
      </w:r>
    </w:p>
    <w:p>
      <w:pPr>
        <w:numPr>
          <w:ilvl w:val="0"/>
          <w:numId w:val="0"/>
        </w:numPr>
        <w:ind w:firstLine="2891" w:firstLineChars="900"/>
        <w:rPr>
          <w:rFonts w:hint="eastAsia" w:ascii="楷体" w:hAnsi="楷体" w:eastAsia="楷体" w:cs="楷体"/>
          <w:b/>
          <w:bCs/>
          <w:color w:val="auto"/>
          <w:sz w:val="32"/>
          <w:szCs w:val="32"/>
          <w:u w:val="none"/>
        </w:rPr>
      </w:pPr>
    </w:p>
    <w:p>
      <w:pPr>
        <w:numPr>
          <w:ilvl w:val="0"/>
          <w:numId w:val="0"/>
        </w:numPr>
        <w:ind w:firstLine="2880" w:firstLineChars="900"/>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第五章 监督管理</w:t>
      </w:r>
    </w:p>
    <w:p>
      <w:pPr>
        <w:numPr>
          <w:ilvl w:val="0"/>
          <w:numId w:val="0"/>
        </w:num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第三十四条</w:t>
      </w:r>
      <w:r>
        <w:rPr>
          <w:rFonts w:hint="eastAsia" w:ascii="楷体" w:hAnsi="楷体" w:eastAsia="楷体" w:cs="楷体"/>
          <w:color w:val="auto"/>
          <w:sz w:val="32"/>
          <w:szCs w:val="32"/>
          <w:u w:val="none"/>
        </w:rPr>
        <w:t xml:space="preserve"> 履行出资人职责的机构应当加强对所出资企业负责人履职待遇、业务支出的监督管理。对违反本办法规定的企业和负有领导责任的企业主要负责人、有关负责人，按照管理权限依规依纪追责问责。</w:t>
      </w:r>
    </w:p>
    <w:p>
      <w:pPr>
        <w:numPr>
          <w:ilvl w:val="0"/>
          <w:numId w:val="0"/>
        </w:numPr>
        <w:ind w:firstLine="640" w:firstLineChars="200"/>
        <w:rPr>
          <w:rFonts w:hint="eastAsia" w:ascii="楷体" w:hAnsi="楷体" w:eastAsia="楷体" w:cs="楷体"/>
          <w:b w:val="0"/>
          <w:bCs w:val="0"/>
          <w:color w:val="auto"/>
          <w:sz w:val="32"/>
          <w:szCs w:val="32"/>
          <w:u w:val="none"/>
          <w:lang w:val="en-US" w:eastAsia="zh-CN"/>
        </w:rPr>
      </w:pPr>
      <w:r>
        <w:rPr>
          <w:rFonts w:hint="eastAsia" w:ascii="黑体" w:hAnsi="黑体" w:eastAsia="黑体" w:cs="黑体"/>
          <w:b w:val="0"/>
          <w:bCs w:val="0"/>
          <w:color w:val="auto"/>
          <w:sz w:val="32"/>
          <w:szCs w:val="32"/>
          <w:u w:val="none"/>
        </w:rPr>
        <w:t>第三十五条</w:t>
      </w:r>
      <w:r>
        <w:rPr>
          <w:rFonts w:hint="eastAsia" w:ascii="楷体" w:hAnsi="楷体" w:eastAsia="楷体" w:cs="楷体"/>
          <w:color w:val="auto"/>
          <w:sz w:val="32"/>
          <w:szCs w:val="32"/>
          <w:u w:val="none"/>
        </w:rPr>
        <w:t xml:space="preserve"> 企业应当对集团公司和各级子企业负责人履职待遇、业务支出进行规范管理。</w:t>
      </w:r>
    </w:p>
    <w:p>
      <w:pPr>
        <w:numPr>
          <w:ilvl w:val="0"/>
          <w:numId w:val="0"/>
        </w:num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第三十六条</w:t>
      </w:r>
      <w:r>
        <w:rPr>
          <w:rFonts w:hint="eastAsia" w:ascii="楷体" w:hAnsi="楷体" w:eastAsia="楷体" w:cs="楷体"/>
          <w:color w:val="auto"/>
          <w:sz w:val="32"/>
          <w:szCs w:val="32"/>
          <w:u w:val="none"/>
        </w:rPr>
        <w:t xml:space="preserve"> 企业应当将企业负责人履职待遇、业务支出管理制度、年度预算以及执行情况作为</w:t>
      </w:r>
      <w:r>
        <w:rPr>
          <w:rFonts w:hint="eastAsia" w:ascii="楷体" w:hAnsi="楷体" w:eastAsia="楷体" w:cs="楷体"/>
          <w:color w:val="auto"/>
          <w:sz w:val="32"/>
          <w:szCs w:val="32"/>
          <w:u w:val="none"/>
          <w:lang w:val="en-US" w:eastAsia="zh-CN"/>
        </w:rPr>
        <w:t>厂务</w:t>
      </w:r>
      <w:r>
        <w:rPr>
          <w:rFonts w:hint="eastAsia" w:ascii="楷体" w:hAnsi="楷体" w:eastAsia="楷体" w:cs="楷体"/>
          <w:color w:val="auto"/>
          <w:sz w:val="32"/>
          <w:szCs w:val="32"/>
          <w:u w:val="none"/>
        </w:rPr>
        <w:t>公开的内容，通过职工代表大会等形式定期公开，接受职工监督。</w:t>
      </w:r>
    </w:p>
    <w:p>
      <w:pPr>
        <w:numPr>
          <w:ilvl w:val="0"/>
          <w:numId w:val="0"/>
        </w:num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第三十七条</w:t>
      </w:r>
      <w:r>
        <w:rPr>
          <w:rFonts w:hint="eastAsia" w:ascii="楷体" w:hAnsi="楷体" w:eastAsia="楷体" w:cs="楷体"/>
          <w:color w:val="auto"/>
          <w:sz w:val="32"/>
          <w:szCs w:val="32"/>
          <w:u w:val="none"/>
        </w:rPr>
        <w:t xml:space="preserve"> 企业负责人应当将个人履职待遇、业务支出情况、年度预算以及执行情况等，作为民主生活会、年度述职述廉的重要内容，接受监督和民主评议。</w:t>
      </w:r>
    </w:p>
    <w:p>
      <w:pPr>
        <w:numPr>
          <w:ilvl w:val="0"/>
          <w:numId w:val="0"/>
        </w:num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第三十八条</w:t>
      </w:r>
      <w:r>
        <w:rPr>
          <w:rFonts w:hint="eastAsia" w:ascii="楷体" w:hAnsi="楷体" w:eastAsia="楷体" w:cs="楷体"/>
          <w:color w:val="auto"/>
          <w:sz w:val="32"/>
          <w:szCs w:val="32"/>
          <w:u w:val="none"/>
        </w:rPr>
        <w:t xml:space="preserve"> 企业内部财务、审计等部门应当完善内部控制机制和监督机制，加强对企业负责人履职待遇、业务支出情况的管理监督。</w:t>
      </w:r>
    </w:p>
    <w:p>
      <w:pPr>
        <w:numPr>
          <w:ilvl w:val="0"/>
          <w:numId w:val="0"/>
        </w:num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第三十九条</w:t>
      </w:r>
      <w:r>
        <w:rPr>
          <w:rFonts w:hint="eastAsia" w:ascii="楷体" w:hAnsi="楷体" w:eastAsia="楷体" w:cs="楷体"/>
          <w:color w:val="auto"/>
          <w:sz w:val="32"/>
          <w:szCs w:val="32"/>
          <w:u w:val="none"/>
        </w:rPr>
        <w:t xml:space="preserve"> 企业负责人履职待遇、业务支出情况纳入</w:t>
      </w:r>
      <w:r>
        <w:rPr>
          <w:rFonts w:hint="eastAsia" w:ascii="楷体" w:hAnsi="楷体" w:eastAsia="楷体" w:cs="楷体"/>
          <w:color w:val="auto"/>
          <w:sz w:val="32"/>
          <w:szCs w:val="32"/>
          <w:u w:val="none"/>
          <w:lang w:val="en-US" w:eastAsia="zh-CN"/>
        </w:rPr>
        <w:t>巡察组巡察</w:t>
      </w:r>
      <w:r>
        <w:rPr>
          <w:rFonts w:hint="eastAsia" w:ascii="楷体" w:hAnsi="楷体" w:eastAsia="楷体" w:cs="楷体"/>
          <w:color w:val="auto"/>
          <w:sz w:val="32"/>
          <w:szCs w:val="32"/>
          <w:u w:val="none"/>
        </w:rPr>
        <w:t>工作内容和企业负责人经济责任审计范围。</w:t>
      </w:r>
    </w:p>
    <w:p>
      <w:pPr>
        <w:numPr>
          <w:ilvl w:val="0"/>
          <w:numId w:val="0"/>
        </w:numPr>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企业应当积极配合</w:t>
      </w:r>
      <w:r>
        <w:rPr>
          <w:rFonts w:hint="eastAsia" w:ascii="楷体" w:hAnsi="楷体" w:eastAsia="楷体" w:cs="楷体"/>
          <w:color w:val="auto"/>
          <w:sz w:val="32"/>
          <w:szCs w:val="32"/>
          <w:u w:val="none"/>
          <w:lang w:val="en-US" w:eastAsia="zh-CN"/>
        </w:rPr>
        <w:t>巡察</w:t>
      </w:r>
      <w:r>
        <w:rPr>
          <w:rFonts w:hint="eastAsia" w:ascii="楷体" w:hAnsi="楷体" w:eastAsia="楷体" w:cs="楷体"/>
          <w:color w:val="auto"/>
          <w:sz w:val="32"/>
          <w:szCs w:val="32"/>
          <w:u w:val="none"/>
        </w:rPr>
        <w:t>组、审计机关等机构的监督检查，</w:t>
      </w:r>
      <w:r>
        <w:rPr>
          <w:rFonts w:hint="eastAsia" w:ascii="楷体" w:hAnsi="楷体" w:eastAsia="楷体" w:cs="楷体"/>
          <w:color w:val="auto"/>
          <w:sz w:val="32"/>
          <w:szCs w:val="32"/>
          <w:u w:val="none"/>
          <w:lang w:val="en-US" w:eastAsia="zh-CN"/>
        </w:rPr>
        <w:t>自觉接受社会监督，</w:t>
      </w:r>
      <w:r>
        <w:rPr>
          <w:rFonts w:hint="eastAsia" w:ascii="楷体" w:hAnsi="楷体" w:eastAsia="楷体" w:cs="楷体"/>
          <w:color w:val="auto"/>
          <w:sz w:val="32"/>
          <w:szCs w:val="32"/>
          <w:u w:val="none"/>
        </w:rPr>
        <w:t>及时纠正监督检查中发现的问题。</w:t>
      </w:r>
    </w:p>
    <w:p>
      <w:pPr>
        <w:numPr>
          <w:ilvl w:val="0"/>
          <w:numId w:val="0"/>
        </w:num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第四十条</w:t>
      </w:r>
      <w:r>
        <w:rPr>
          <w:rFonts w:hint="eastAsia" w:ascii="楷体" w:hAnsi="楷体" w:eastAsia="楷体" w:cs="楷体"/>
          <w:color w:val="auto"/>
          <w:sz w:val="32"/>
          <w:szCs w:val="32"/>
          <w:u w:val="none"/>
        </w:rPr>
        <w:t xml:space="preserve"> 企业负责人退休或者调离企业的，其履职待遇、业务支出自退休或者调离企业之日起取消，在退休或者调离企业文件下达之日起 30 日内腾退配置使用的办公用房和公务用车。</w:t>
      </w:r>
    </w:p>
    <w:p>
      <w:pPr>
        <w:numPr>
          <w:ilvl w:val="0"/>
          <w:numId w:val="0"/>
        </w:num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第四十一条</w:t>
      </w:r>
      <w:r>
        <w:rPr>
          <w:rFonts w:hint="eastAsia" w:ascii="楷体" w:hAnsi="楷体" w:eastAsia="楷体" w:cs="楷体"/>
          <w:color w:val="auto"/>
          <w:sz w:val="32"/>
          <w:szCs w:val="32"/>
          <w:u w:val="none"/>
          <w:lang w:val="en-US" w:eastAsia="zh-CN"/>
        </w:rPr>
        <w:t xml:space="preserve"> </w:t>
      </w:r>
      <w:r>
        <w:rPr>
          <w:rFonts w:hint="eastAsia" w:ascii="楷体" w:hAnsi="楷体" w:eastAsia="楷体" w:cs="楷体"/>
          <w:color w:val="auto"/>
          <w:sz w:val="32"/>
          <w:szCs w:val="32"/>
          <w:u w:val="none"/>
        </w:rPr>
        <w:t>企业不得向所出资企业或者其他有利益关系单位转嫁企业负责人履职待遇、业务支出。</w:t>
      </w:r>
    </w:p>
    <w:p>
      <w:pPr>
        <w:numPr>
          <w:ilvl w:val="0"/>
          <w:numId w:val="0"/>
        </w:numPr>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企业负责人在所出资企业兼任董事长</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总经理</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等职务且主要工作职责在所兼职企业的，可以执行集团公司负责人履职待遇、业务支出标准，由所兼职企业报销和列支，同一费用不得在集团总部和所兼职企业重复报销和列支。</w:t>
      </w:r>
    </w:p>
    <w:p>
      <w:pPr>
        <w:numPr>
          <w:ilvl w:val="0"/>
          <w:numId w:val="0"/>
        </w:numPr>
        <w:ind w:firstLine="640" w:firstLineChars="200"/>
        <w:rPr>
          <w:rFonts w:hint="eastAsia" w:ascii="楷体" w:hAnsi="楷体" w:eastAsia="楷体" w:cs="楷体"/>
          <w:color w:val="auto"/>
          <w:sz w:val="32"/>
          <w:szCs w:val="32"/>
          <w:u w:val="none"/>
          <w:lang w:eastAsia="zh-CN"/>
        </w:rPr>
      </w:pPr>
      <w:r>
        <w:rPr>
          <w:rFonts w:hint="eastAsia" w:ascii="黑体" w:hAnsi="黑体" w:eastAsia="黑体" w:cs="黑体"/>
          <w:b w:val="0"/>
          <w:bCs w:val="0"/>
          <w:color w:val="auto"/>
          <w:sz w:val="32"/>
          <w:szCs w:val="32"/>
          <w:u w:val="none"/>
        </w:rPr>
        <w:t>第四十二条</w:t>
      </w:r>
      <w:r>
        <w:rPr>
          <w:rFonts w:hint="eastAsia" w:ascii="楷体" w:hAnsi="楷体" w:eastAsia="楷体" w:cs="楷体"/>
          <w:color w:val="auto"/>
          <w:sz w:val="32"/>
          <w:szCs w:val="32"/>
          <w:u w:val="none"/>
          <w:lang w:val="en-US" w:eastAsia="zh-CN"/>
        </w:rPr>
        <w:t xml:space="preserve"> </w:t>
      </w:r>
      <w:r>
        <w:rPr>
          <w:rFonts w:hint="eastAsia" w:ascii="楷体" w:hAnsi="楷体" w:eastAsia="楷体" w:cs="楷体"/>
          <w:color w:val="auto"/>
          <w:sz w:val="32"/>
          <w:szCs w:val="32"/>
          <w:u w:val="none"/>
        </w:rPr>
        <w:t>除按照本办法规定的保障企业负责人履职待遇、业务支出外，严禁以下用公款支付企业负责人个人支出的行为</w:t>
      </w:r>
      <w:r>
        <w:rPr>
          <w:rFonts w:hint="eastAsia" w:ascii="楷体" w:hAnsi="楷体" w:eastAsia="楷体" w:cs="楷体"/>
          <w:color w:val="auto"/>
          <w:sz w:val="32"/>
          <w:szCs w:val="32"/>
          <w:u w:val="none"/>
          <w:lang w:eastAsia="zh-CN"/>
        </w:rPr>
        <w:t>：</w:t>
      </w:r>
    </w:p>
    <w:p>
      <w:pPr>
        <w:numPr>
          <w:ilvl w:val="0"/>
          <w:numId w:val="0"/>
        </w:numPr>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lang w:val="en-US" w:eastAsia="zh-CN"/>
        </w:rPr>
        <w:t>一</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为企业负责人个人设置定额消费;</w:t>
      </w:r>
    </w:p>
    <w:p>
      <w:pPr>
        <w:numPr>
          <w:ilvl w:val="0"/>
          <w:numId w:val="0"/>
        </w:numPr>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lang w:val="en-US" w:eastAsia="zh-CN"/>
        </w:rPr>
        <w:t>二</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为企业负责人办理理疗保健卡、运动健身卡、会所和俱乐部会员卡、高尔夫球卡等各种消费卡;</w:t>
      </w:r>
    </w:p>
    <w:p>
      <w:pPr>
        <w:numPr>
          <w:ilvl w:val="0"/>
          <w:numId w:val="0"/>
        </w:numPr>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lang w:val="en-US" w:eastAsia="zh-CN"/>
        </w:rPr>
        <w:t>三</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为企业负责人支付履行工作职责以外的、应当由个人承担的消费娱乐活动、宴请、赠送礼品以及培训等各种费用;</w:t>
      </w:r>
    </w:p>
    <w:p>
      <w:pPr>
        <w:numPr>
          <w:ilvl w:val="0"/>
          <w:numId w:val="0"/>
        </w:numPr>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lang w:val="en-US" w:eastAsia="zh-CN"/>
        </w:rPr>
        <w:t>四</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支付与企业经营管理无关的各种消费支出;</w:t>
      </w:r>
    </w:p>
    <w:p>
      <w:pPr>
        <w:numPr>
          <w:ilvl w:val="0"/>
          <w:numId w:val="0"/>
        </w:numPr>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lang w:val="en-US" w:eastAsia="zh-CN"/>
        </w:rPr>
        <w:t>五</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向所出资企业或者其他单位转移个人费用支出。</w:t>
      </w:r>
    </w:p>
    <w:p>
      <w:pPr>
        <w:numPr>
          <w:ilvl w:val="0"/>
          <w:numId w:val="0"/>
        </w:num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第四十三条</w:t>
      </w:r>
      <w:r>
        <w:rPr>
          <w:rFonts w:hint="eastAsia" w:ascii="楷体" w:hAnsi="楷体" w:eastAsia="楷体" w:cs="楷体"/>
          <w:color w:val="auto"/>
          <w:sz w:val="32"/>
          <w:szCs w:val="32"/>
          <w:u w:val="none"/>
        </w:rPr>
        <w:t xml:space="preserve"> 企业负责人违反履职待遇、业务支出管理相关规定的，视情节轻重，由有关机构按照管理权限予以处理，并相应扣减绩效年薪;对需要给予处分的，依照有关规定追究责任;涉嫌</w:t>
      </w:r>
      <w:r>
        <w:rPr>
          <w:rFonts w:hint="eastAsia" w:ascii="楷体" w:hAnsi="楷体" w:eastAsia="楷体" w:cs="楷体"/>
          <w:color w:val="auto"/>
          <w:sz w:val="32"/>
          <w:szCs w:val="32"/>
          <w:u w:val="none"/>
          <w:lang w:val="en-US" w:eastAsia="zh-CN"/>
        </w:rPr>
        <w:t>职务违法、职务</w:t>
      </w:r>
      <w:r>
        <w:rPr>
          <w:rFonts w:hint="eastAsia" w:ascii="楷体" w:hAnsi="楷体" w:eastAsia="楷体" w:cs="楷体"/>
          <w:color w:val="auto"/>
          <w:sz w:val="32"/>
          <w:szCs w:val="32"/>
          <w:u w:val="none"/>
        </w:rPr>
        <w:t>犯罪的，移送国家监察机关或者司法机关依法处理。</w:t>
      </w:r>
    </w:p>
    <w:p>
      <w:pPr>
        <w:numPr>
          <w:ilvl w:val="0"/>
          <w:numId w:val="0"/>
        </w:num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第四十四条</w:t>
      </w:r>
      <w:r>
        <w:rPr>
          <w:rFonts w:hint="eastAsia" w:ascii="楷体" w:hAnsi="楷体" w:eastAsia="楷体" w:cs="楷体"/>
          <w:color w:val="auto"/>
          <w:sz w:val="32"/>
          <w:szCs w:val="32"/>
          <w:u w:val="none"/>
        </w:rPr>
        <w:t xml:space="preserve"> 企业负责人违反本办法获取的经济利益，应当予以收缴或者纠正;用公款支付、报销应当由个人支付的费用，应当责令退赔;给企业造成经济损失的，应当依据国家或者企业有关规定承担经济赔偿责任。</w:t>
      </w:r>
    </w:p>
    <w:p>
      <w:pPr>
        <w:numPr>
          <w:ilvl w:val="0"/>
          <w:numId w:val="0"/>
        </w:numPr>
        <w:ind w:firstLine="3534" w:firstLineChars="1100"/>
        <w:rPr>
          <w:rFonts w:hint="eastAsia" w:ascii="楷体" w:hAnsi="楷体" w:eastAsia="楷体" w:cs="楷体"/>
          <w:b/>
          <w:bCs/>
          <w:color w:val="auto"/>
          <w:sz w:val="32"/>
          <w:szCs w:val="32"/>
          <w:u w:val="none"/>
        </w:rPr>
      </w:pPr>
    </w:p>
    <w:p>
      <w:pPr>
        <w:numPr>
          <w:ilvl w:val="0"/>
          <w:numId w:val="0"/>
        </w:numPr>
        <w:ind w:firstLine="2880" w:firstLineChars="900"/>
        <w:rPr>
          <w:rFonts w:hint="eastAsia" w:ascii="黑体" w:hAnsi="黑体" w:eastAsia="黑体" w:cs="黑体"/>
          <w:b w:val="0"/>
          <w:bCs w:val="0"/>
          <w:color w:val="auto"/>
          <w:sz w:val="32"/>
          <w:szCs w:val="32"/>
          <w:u w:val="none"/>
        </w:rPr>
      </w:pPr>
      <w:bookmarkStart w:id="0" w:name="_GoBack"/>
      <w:r>
        <w:rPr>
          <w:rFonts w:hint="eastAsia" w:ascii="黑体" w:hAnsi="黑体" w:eastAsia="黑体" w:cs="黑体"/>
          <w:b w:val="0"/>
          <w:bCs w:val="0"/>
          <w:color w:val="auto"/>
          <w:sz w:val="32"/>
          <w:szCs w:val="32"/>
          <w:u w:val="none"/>
        </w:rPr>
        <w:t xml:space="preserve">第六章 附 则 </w:t>
      </w:r>
    </w:p>
    <w:bookmarkEnd w:id="0"/>
    <w:p>
      <w:pPr>
        <w:numPr>
          <w:ilvl w:val="0"/>
          <w:numId w:val="0"/>
        </w:num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第四十五条</w:t>
      </w:r>
      <w:r>
        <w:rPr>
          <w:rFonts w:hint="eastAsia" w:ascii="楷体" w:hAnsi="楷体" w:eastAsia="楷体" w:cs="楷体"/>
          <w:color w:val="auto"/>
          <w:sz w:val="32"/>
          <w:szCs w:val="32"/>
          <w:u w:val="none"/>
        </w:rPr>
        <w:t xml:space="preserve"> 本办法解释的办理工作由</w:t>
      </w:r>
      <w:r>
        <w:rPr>
          <w:rFonts w:hint="eastAsia" w:ascii="楷体" w:hAnsi="楷体" w:eastAsia="楷体" w:cs="楷体"/>
          <w:color w:val="auto"/>
          <w:sz w:val="32"/>
          <w:szCs w:val="32"/>
          <w:u w:val="none"/>
          <w:lang w:val="en-US" w:eastAsia="zh-CN"/>
        </w:rPr>
        <w:t>盟</w:t>
      </w:r>
      <w:r>
        <w:rPr>
          <w:rFonts w:hint="eastAsia" w:ascii="楷体" w:hAnsi="楷体" w:eastAsia="楷体" w:cs="楷体"/>
          <w:color w:val="auto"/>
          <w:sz w:val="32"/>
          <w:szCs w:val="32"/>
          <w:u w:val="none"/>
        </w:rPr>
        <w:t>国资委负责。</w:t>
      </w:r>
    </w:p>
    <w:p>
      <w:pPr>
        <w:numPr>
          <w:ilvl w:val="0"/>
          <w:numId w:val="0"/>
        </w:numPr>
        <w:ind w:firstLine="640" w:firstLineChars="200"/>
        <w:rPr>
          <w:rFonts w:hint="eastAsia" w:ascii="楷体" w:hAnsi="楷体" w:eastAsia="楷体" w:cs="楷体"/>
          <w:color w:val="auto"/>
          <w:sz w:val="32"/>
          <w:szCs w:val="32"/>
          <w:u w:val="none"/>
        </w:rPr>
      </w:pPr>
      <w:r>
        <w:rPr>
          <w:rFonts w:hint="eastAsia" w:ascii="黑体" w:hAnsi="黑体" w:eastAsia="黑体" w:cs="黑体"/>
          <w:b w:val="0"/>
          <w:bCs w:val="0"/>
          <w:color w:val="auto"/>
          <w:sz w:val="32"/>
          <w:szCs w:val="32"/>
          <w:u w:val="none"/>
        </w:rPr>
        <w:t>第四十六条</w:t>
      </w:r>
      <w:r>
        <w:rPr>
          <w:rFonts w:hint="eastAsia" w:ascii="楷体" w:hAnsi="楷体" w:eastAsia="楷体" w:cs="楷体"/>
          <w:b/>
          <w:bCs/>
          <w:color w:val="auto"/>
          <w:sz w:val="32"/>
          <w:szCs w:val="32"/>
          <w:u w:val="none"/>
          <w:lang w:val="en-US" w:eastAsia="zh-CN"/>
        </w:rPr>
        <w:t xml:space="preserve"> </w:t>
      </w:r>
      <w:r>
        <w:rPr>
          <w:rFonts w:hint="eastAsia" w:ascii="楷体" w:hAnsi="楷体" w:eastAsia="楷体" w:cs="楷体"/>
          <w:color w:val="auto"/>
          <w:sz w:val="32"/>
          <w:szCs w:val="32"/>
          <w:u w:val="none"/>
        </w:rPr>
        <w:t>本办法自发布之日起施行。《</w:t>
      </w:r>
      <w:r>
        <w:rPr>
          <w:rFonts w:hint="eastAsia" w:ascii="楷体" w:hAnsi="楷体" w:eastAsia="楷体" w:cs="楷体"/>
          <w:color w:val="auto"/>
          <w:sz w:val="32"/>
          <w:szCs w:val="32"/>
          <w:u w:val="none"/>
          <w:lang w:val="en-US" w:eastAsia="zh-CN"/>
        </w:rPr>
        <w:t>兴安盟</w:t>
      </w:r>
      <w:r>
        <w:rPr>
          <w:rFonts w:hint="eastAsia" w:ascii="楷体" w:hAnsi="楷体" w:eastAsia="楷体" w:cs="楷体"/>
          <w:color w:val="auto"/>
          <w:sz w:val="32"/>
          <w:szCs w:val="32"/>
          <w:u w:val="none"/>
        </w:rPr>
        <w:t>直属企业负责人履职待遇、业务支出管理办法</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试行</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lang w:val="en-US" w:eastAsia="zh-CN"/>
        </w:rPr>
        <w:t>兴署</w:t>
      </w:r>
      <w:r>
        <w:rPr>
          <w:rFonts w:hint="eastAsia" w:ascii="楷体" w:hAnsi="楷体" w:eastAsia="楷体" w:cs="楷体"/>
          <w:color w:val="auto"/>
          <w:sz w:val="32"/>
          <w:szCs w:val="32"/>
          <w:u w:val="none"/>
        </w:rPr>
        <w:t>办发〔201</w:t>
      </w:r>
      <w:r>
        <w:rPr>
          <w:rFonts w:hint="eastAsia" w:ascii="楷体" w:hAnsi="楷体" w:eastAsia="楷体" w:cs="楷体"/>
          <w:color w:val="auto"/>
          <w:sz w:val="32"/>
          <w:szCs w:val="32"/>
          <w:u w:val="none"/>
          <w:lang w:val="en-US" w:eastAsia="zh-CN"/>
        </w:rPr>
        <w:t>8</w:t>
      </w:r>
      <w:r>
        <w:rPr>
          <w:rFonts w:hint="eastAsia" w:ascii="楷体" w:hAnsi="楷体" w:eastAsia="楷体" w:cs="楷体"/>
          <w:color w:val="auto"/>
          <w:sz w:val="32"/>
          <w:szCs w:val="32"/>
          <w:u w:val="none"/>
        </w:rPr>
        <w:t>〕</w:t>
      </w:r>
      <w:r>
        <w:rPr>
          <w:rFonts w:hint="eastAsia" w:ascii="楷体" w:hAnsi="楷体" w:eastAsia="楷体" w:cs="楷体"/>
          <w:color w:val="auto"/>
          <w:sz w:val="32"/>
          <w:szCs w:val="32"/>
          <w:u w:val="none"/>
          <w:lang w:val="en-US" w:eastAsia="zh-CN"/>
        </w:rPr>
        <w:t>60</w:t>
      </w:r>
      <w:r>
        <w:rPr>
          <w:rFonts w:hint="eastAsia" w:ascii="楷体" w:hAnsi="楷体" w:eastAsia="楷体" w:cs="楷体"/>
          <w:color w:val="auto"/>
          <w:sz w:val="32"/>
          <w:szCs w:val="32"/>
          <w:u w:val="none"/>
        </w:rPr>
        <w:t xml:space="preserve"> 号</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同时废止。</w:t>
      </w:r>
    </w:p>
    <w:p>
      <w:pPr>
        <w:ind w:firstLine="640" w:firstLineChars="200"/>
        <w:rPr>
          <w:rFonts w:hint="eastAsia" w:ascii="楷体" w:hAnsi="楷体" w:eastAsia="楷体" w:cs="楷体"/>
          <w:color w:val="auto"/>
          <w:sz w:val="32"/>
          <w:szCs w:val="32"/>
          <w:u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376D4"/>
    <w:multiLevelType w:val="singleLevel"/>
    <w:tmpl w:val="5F1376D4"/>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MjM4ZTI0ZTNjZDY3Y2Y3NTg0YzQ3NDc5NjdkMDEifQ=="/>
  </w:docVars>
  <w:rsids>
    <w:rsidRoot w:val="66D058F4"/>
    <w:rsid w:val="05D51F6C"/>
    <w:rsid w:val="0619721E"/>
    <w:rsid w:val="0B13248D"/>
    <w:rsid w:val="0F02398F"/>
    <w:rsid w:val="1777394D"/>
    <w:rsid w:val="193170C3"/>
    <w:rsid w:val="2200645B"/>
    <w:rsid w:val="244733C7"/>
    <w:rsid w:val="2C0E5A36"/>
    <w:rsid w:val="2C5975A0"/>
    <w:rsid w:val="343B0A5C"/>
    <w:rsid w:val="42615911"/>
    <w:rsid w:val="457A17CB"/>
    <w:rsid w:val="46120863"/>
    <w:rsid w:val="484A762B"/>
    <w:rsid w:val="489F5247"/>
    <w:rsid w:val="49BE7DC6"/>
    <w:rsid w:val="510D7D86"/>
    <w:rsid w:val="59AB28B6"/>
    <w:rsid w:val="5DDF3DB7"/>
    <w:rsid w:val="657F39D4"/>
    <w:rsid w:val="66D058F4"/>
    <w:rsid w:val="6A1200CF"/>
    <w:rsid w:val="6A9061C4"/>
    <w:rsid w:val="6C115179"/>
    <w:rsid w:val="70D35D03"/>
    <w:rsid w:val="71D15700"/>
    <w:rsid w:val="721D0945"/>
    <w:rsid w:val="74392D65"/>
    <w:rsid w:val="746772B3"/>
    <w:rsid w:val="754752F4"/>
    <w:rsid w:val="75FA6A45"/>
    <w:rsid w:val="78514CF6"/>
    <w:rsid w:val="7BDD3513"/>
    <w:rsid w:val="7F8F7B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153</Words>
  <Characters>172</Characters>
  <Lines>0</Lines>
  <Paragraphs>0</Paragraphs>
  <TotalTime>61</TotalTime>
  <ScaleCrop>false</ScaleCrop>
  <LinksUpToDate>false</LinksUpToDate>
  <CharactersWithSpaces>173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2023-02-14T07:51:00Z</dcterms:created>
  <dc:creator>不知道</dc:creator>
  <cp:lastModifiedBy>XATJLB</cp:lastModifiedBy>
  <dcterms:modified xsi:type="dcterms:W3CDTF">2024-04-09T09:33:53Z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1E2A1C8795F0456DA831EDA3AAF1F8D5_13</vt:lpwstr>
  </property>
</Properties>
</file>